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MEDICAL OSCE FLASHCARDS  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Suez Canal University  ·  Faculty of Medicine  ·  Family Medicine Department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Credit-Hour Masters of Family Medicine &amp; Community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AAEE"/>
                <w:sz w:val="22"/>
                <w:szCs w:val="22"/>
              </w:rPr>
              <w:t xml:space="preserve">CARD 00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ROLE PLAYER INFO — GERD Case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Ibtisam Muhammad Ahmed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Age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years old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 teacher, married, 2 daughters (18 &amp; 16 yrs), non-smoker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Chief Complaint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Heartburn &amp; chest burning for ~6 months</w:t>
            </w:r>
          </w:p>
        </w:tc>
      </w:tr>
    </w:tbl>
    <w:p>
      <w:pPr>
        <w:spacing w:before="0" w:after="120"/>
      </w:pPr>
      <w:r>
        <w:t xml:space="preserve"/>
      </w:r>
    </w:p>
    <w:p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KEY HISTORY POINTS (only reveal if asked):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Gastric acidity &amp; chest burning for 6 months; started as 1–2x/week after fatty meals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Now daily for the past month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On treatment for 2 months: Pantoprazole 20mg + Jestramole 14 capsules/day — currently relieving symptoms temporarily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Takes medication 30 min before meals, daily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Burning was previously associated only with pregnancy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No nausea, vomiting, difficulty swallowing, abdominal pain, diarrhea, constipation, blood in stool, or weight loss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Symptoms worsen with exercise or bending; sometimes associated with acid taste in mouth; sometimes lies on 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Does not like spicy food; drinks fizzy water irregularly; drinks coffee as a daily staple; eats fast food occasionally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No HTN, DM, chest allergy, chest/liver disease, or tumors in PMH/FH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No long-term medications prior; no previous surgeries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D1B4E"/>
          <w:sz w:val="19"/>
          <w:szCs w:val="19"/>
        </w:rPr>
        <w:t xml:space="preserve">Condition does not affect sleep, work, or mood — الحمد لله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CARD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GERD — History Taking &amp; Management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GOOD PERFORMANCE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POOR PERFORMANCE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Differentiates GERD from other causes of dyspepsia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Obtains unsystematic history with too much irrelevant information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Enquires about aggravating factors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enquire about red flags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Assesses red flags and asks about atypical presentations of GERD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Decides continuation of medical treatment (without endoscopy referral)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Elicits patient's ideas, concerns, and expectations (ICE) and responds appropriately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Provides health education: explains the condition, risk factor avoidance, lifestyle modification, correct medication use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Revises and comments on medications: anti-secretory drugs (PPI) for healing of esophagitis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Refers patient for endoscopy with explanation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Informs patient of the date of follow-up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CARD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Cranial Nerve Examination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GOOD PERFORMANCE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POOR PERFORMANCE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Builds rapport and uses appropriate communication skills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Proceeds with examination without taking permission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Takes permission to conduct facial examination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Ignores infection control measures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Properly explains examination steps and expected responses to patient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Provides no explanation to patient about examination steps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Performs hand hygiene (alcohol rub) before and after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Conducts cranial nerve examination unsystematically (hesitation, blocking, etc.)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Conducts cranial nerve examination fluently: inspection of both sides of face, neck, and shoulders, then specific tests per nerve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Explains findings to the assessor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CARD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Pediatric COVID-19 — History &amp; Management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GOOD PERFORMANCE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POOR PERFORMANCE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Establishes rapport and uses communication skills appropriately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Reacts inappropriately with parent (emotionless or aggressive)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Asks about presenting complaint with analysis of associated symptoms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Obtains unsystematic history with too much irrelevant information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Inquires about other systems: GIT, urinary, and cardiac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differentiate between COVID and non-COVID illnesses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Inquires about past history of similar attacks and hospitalizations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order relevant investigations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Interprets examination properly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treat patient properly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Elicits parent's ideas, concerns, and expectations (ICE)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elicit ideas, concerns, and expectations of the patient/parent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Orders investigations: CBC, pulse oximetry, D-dimer, ESR, CRP, S-ferritin, CT chest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Advises strict home isolation, use of PPE, warns about red flags; no antibiotics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Prescribes: Vitamin C 1g daily, Zinc 50mg daily, Acetylcysteine 200mg/8h, Lactoferrin 1 sachet/12h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Asks parent about any questions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Informs parent about date of follow-up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CARD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Renal/Ureteric Stone — History &amp; Management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GOOD PERFORMANCE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POOR PERFORMANCE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Establishes rapport and uses communication skills appropriately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rule out pyelonephritis, gross hematuria, or decreased urinary output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Analyses pain: character, radiation, exacerbating/alleviating factors; asks about passage of stone with micturition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exclude: UTI, renal mass, prostatitis, obstructed inguinal hernia, musculoskeletal inflammation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Inquires about warning symptoms: fever, hematuria, anuria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inquire about risk factors for ureteric stone (fluid/dietary habits, gout, family history, past history)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Asks about suprapubic pain and LUTS: frequency, urgency, nocturia, incomplete emptying, hesitancy, poor stream, straining, terminal dribbling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Ignores eliciting ICE of patient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Inquires about predisposing factors: fluid/dietary habits, bowel disease, gout, family/past history of renal stones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Tells patient stone will need SWL, ureteroscopy (URS), or surgery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Assesses drug history: current use, drug allergy, contraindications to NSAIDs (e.g. PUD)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Refers patient to urologist (not managing conservatively)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Reviews investigations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Prescribes acidification agents for urine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Elicits ICE and effect on daily life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Does not educate about increased water intake, decreased salt intake, or straining urine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Attempts examination with permission and infection control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Breaks diagnosis appropriately; informs patient stone will likely pass spontaneously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Educates: ≥2L water/day, avoid high-purine foods, limit sweet fruit juices/sugar/salt, strain urine, bring any passed stone for analysis; weight reduction if obese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Prescribes NSAIDs or opioids (appropriate form, dose, frequency, duration)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Prescribes gout prevention if needed: Allopurinol or Febuxostat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Prescribes urine alkalinizing agent: Potassium citrate/bicarbonate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A3D1A"/>
                <w:sz w:val="20"/>
                <w:szCs w:val="20"/>
              </w:rPr>
              <w:t xml:space="preserve">Asks patient for any questions; informs about follow-up (7–14 days)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360" w:hanging="260"/>
      </w:pPr>
      <w:rPr>
        <w:b/>
        <w:bCs/>
        <w:color w:val="1F7A1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✘"/>
      <w:lvlJc w:val="left"/>
      <w:pPr>
        <w:ind w:left="360" w:hanging="260"/>
      </w:pPr>
      <w:rPr>
        <w:b/>
        <w:bCs/>
        <w:color w:val="C0000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2026-03-18T21:28:01.520Z</dcterms:created>
  <dcterms:modified xsi:type="dcterms:W3CDTF">2026-03-18T21:28:01.521Z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