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B7E33D"/>
          <w:sz w:val="17"/>
        </w:rPr>
        <w:t>HACKATHON BUILD · VERSION 2</w:t>
      </w:r>
    </w:p>
    <w:p>
      <w:r>
        <w:rPr>
          <w:b/>
          <w:color w:val="3B2A70"/>
          <w:sz w:val="60"/>
        </w:rPr>
        <w:t>PayFwds Signal</w:t>
      </w:r>
    </w:p>
    <w:p>
      <w:r>
        <w:rPr>
          <w:color w:val="5E6673"/>
          <w:sz w:val="26"/>
        </w:rPr>
        <w:t>Product, architecture, code walkthrough, operating guide, and future-team handoff</w:t>
      </w:r>
    </w:p>
    <w:p>
      <w:r>
        <w:rPr>
          <w:color w:val="1B1B1F"/>
          <w:sz w:val="28"/>
        </w:rPr>
        <w:t>A competitive-intelligence product that turns permitted public payroll reviews into a five-minute pre-call brief.</w:t>
      </w:r>
    </w:p>
    <w:p/>
    <w:tbl>
      <w:tblPr>
        <w:tblW w:type="auto" w:w="0"/>
        <w:jc w:val="center"/>
        <w:tblLook w:firstColumn="1" w:firstRow="1" w:lastColumn="0" w:lastRow="0" w:noHBand="0" w:noVBand="1" w:val="04A0"/>
      </w:tblPr>
      <w:tblGrid>
        <w:gridCol w:w="10166"/>
      </w:tblGrid>
      <w:tr>
        <w:tc>
          <w:tcPr>
            <w:tcW w:type="dxa" w:w="10166"/>
            <w:shd w:fill="F4F5F8"/>
            <w:tcBorders>
              <w:top w:val="single" w:sz="10" w:color="B7E33D"/>
              <w:left w:val="single" w:sz="10" w:color="B7E33D"/>
              <w:bottom w:val="single" w:sz="10" w:color="B7E33D"/>
              <w:right w:val="single" w:sz="10" w:color="B7E33D"/>
              <w:insideH w:val="single" w:sz="10" w:color="B7E33D"/>
              <w:insideV w:val="single" w:sz="10" w:color="B7E33D"/>
            </w:tcBorders>
          </w:tcPr>
          <w:p>
            <w:r>
              <w:rPr>
                <w:b/>
                <w:color w:val="3B2A70"/>
                <w:sz w:val="21"/>
              </w:rPr>
              <w:t>North-star outcome</w:t>
              <w:br/>
            </w:r>
            <w:r>
              <w:rPr>
                <w:color w:val="1B1B1F"/>
                <w:sz w:val="19"/>
              </w:rPr>
              <w:t>A salesperson should be able to open Signal five minutes before a call and answer: Where is this competitor failing? Who feels the pain? What evidence supports it? What should I ask next?</w:t>
            </w:r>
          </w:p>
        </w:tc>
      </w:tr>
    </w:tbl>
    <w:p>
      <w:pPr>
        <w:spacing w:after="0"/>
      </w:pPr>
    </w:p>
    <w:tbl>
      <w:tblPr>
        <w:tblStyle w:val="TableGrid"/>
        <w:tblW w:type="auto" w:w="0"/>
        <w:jc w:val="center"/>
        <w:tblLook w:firstColumn="1" w:firstRow="1" w:lastColumn="0" w:lastRow="0" w:noHBand="0" w:noVBand="1" w:val="04A0"/>
      </w:tblPr>
      <w:tblGrid>
        <w:gridCol w:w="5083"/>
        <w:gridCol w:w="5083"/>
      </w:tblGrid>
      <w:tr>
        <w:tc>
          <w:tcPr>
            <w:tcW w:type="dxa" w:w="2232"/>
            <w:shd w:fill="3B2A70"/>
            <w:vAlign w:val="center"/>
          </w:tcPr>
          <w:p>
            <w:r>
              <w:rPr>
                <w:b/>
                <w:color w:val="FFFFFF"/>
                <w:sz w:val="18"/>
              </w:rPr>
              <w:t>Document</w:t>
            </w:r>
          </w:p>
        </w:tc>
        <w:tc>
          <w:tcPr>
            <w:tcW w:type="dxa" w:w="8208"/>
            <w:shd w:fill="3B2A70"/>
            <w:vAlign w:val="center"/>
          </w:tcPr>
          <w:p>
            <w:r>
              <w:rPr>
                <w:b/>
                <w:color w:val="FFFFFF"/>
                <w:sz w:val="18"/>
              </w:rPr>
              <w:t>Purpose</w:t>
            </w:r>
          </w:p>
        </w:tc>
      </w:tr>
      <w:tr>
        <w:tc>
          <w:tcPr>
            <w:tcW w:type="dxa" w:w="2232"/>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Audience</w:t>
            </w:r>
          </w:p>
        </w:tc>
        <w:tc>
          <w:tcPr>
            <w:tcW w:type="dxa" w:w="8208"/>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Hackathon judges, developers, product owners, sales enablement, and the next engineering team</w:t>
            </w:r>
          </w:p>
        </w:tc>
      </w:tr>
      <w:tr>
        <w:tc>
          <w:tcPr>
            <w:tcW w:type="dxa" w:w="2232"/>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Status</w:t>
            </w:r>
          </w:p>
        </w:tc>
        <w:tc>
          <w:tcPr>
            <w:tcW w:type="dxa" w:w="8208"/>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Hackathon-ready V2 prototype with synthetic demo data</w:t>
            </w:r>
          </w:p>
        </w:tc>
      </w:tr>
      <w:tr>
        <w:tc>
          <w:tcPr>
            <w:tcW w:type="dxa" w:w="2232"/>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Runtime</w:t>
            </w:r>
          </w:p>
        </w:tc>
        <w:tc>
          <w:tcPr>
            <w:tcW w:type="dxa" w:w="8208"/>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Python + Streamlit + Pandas + Altair</w:t>
            </w:r>
          </w:p>
        </w:tc>
      </w:tr>
      <w:tr>
        <w:tc>
          <w:tcPr>
            <w:tcW w:type="dxa" w:w="2232"/>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Primary UI</w:t>
            </w:r>
          </w:p>
        </w:tc>
        <w:tc>
          <w:tcPr>
            <w:tcW w:type="dxa" w:w="8208"/>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Executive Overview, Provider Intel, Battlecards, Methodology</w:t>
            </w:r>
          </w:p>
        </w:tc>
      </w:tr>
      <w:tr>
        <w:tc>
          <w:tcPr>
            <w:tcW w:type="dxa" w:w="2232"/>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Important limitation</w:t>
            </w:r>
          </w:p>
        </w:tc>
        <w:tc>
          <w:tcPr>
            <w:tcW w:type="dxa" w:w="8208"/>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Demo findings are synthetic and must not be presented as factual claims about named providers</w:t>
            </w:r>
          </w:p>
        </w:tc>
      </w:tr>
    </w:tbl>
    <w:p>
      <w:pPr>
        <w:spacing w:after="0"/>
      </w:pPr>
    </w:p>
    <w:p/>
    <w:p>
      <w:pPr>
        <w:jc w:val="center"/>
      </w:pPr>
      <w:r>
        <w:rPr>
          <w:b/>
          <w:color w:val="3B2A70"/>
          <w:sz w:val="32"/>
        </w:rPr>
        <w:t>PAYFWDS  ×  SIGNAL</w:t>
      </w:r>
    </w:p>
    <w:p>
      <w:pPr>
        <w:sectPr>
          <w:headerReference w:type="default" r:id="rId9"/>
          <w:footerReference w:type="default" r:id="rId10"/>
          <w:pgSz w:w="12240" w:h="15840"/>
          <w:pgMar w:top="1008" w:right="1037" w:bottom="936" w:left="1037" w:header="720" w:footer="720" w:gutter="0"/>
          <w:cols w:space="720"/>
          <w:docGrid w:linePitch="360"/>
        </w:sectPr>
      </w:pPr>
    </w:p>
    <w:p>
      <w:r>
        <w:rPr>
          <w:b/>
          <w:color w:val="3B2A70"/>
          <w:sz w:val="60"/>
        </w:rPr>
        <w:t>How to use this handoff</w:t>
      </w:r>
    </w:p>
    <w:p>
      <w:r>
        <w:t>Read Sections 1–3 if you are presenting the hackathon. Read Sections 4–9 if you are maintaining the code. Read Sections 10–13 if you are turning the prototype into a production product.</w:t>
      </w:r>
    </w:p>
    <w:tbl>
      <w:tblPr>
        <w:tblStyle w:val="TableGrid"/>
        <w:tblW w:type="auto" w:w="0"/>
        <w:jc w:val="center"/>
        <w:tblLook w:firstColumn="1" w:firstRow="1" w:lastColumn="0" w:lastRow="0" w:noHBand="0" w:noVBand="1" w:val="04A0"/>
      </w:tblPr>
      <w:tblGrid>
        <w:gridCol w:w="5083"/>
        <w:gridCol w:w="5083"/>
      </w:tblGrid>
      <w:tr>
        <w:tc>
          <w:tcPr>
            <w:tcW w:type="dxa" w:w="5083"/>
            <w:shd w:fill="3B2A70"/>
            <w:vAlign w:val="center"/>
          </w:tcPr>
          <w:p>
            <w:r>
              <w:rPr>
                <w:b/>
                <w:color w:val="FFFFFF"/>
                <w:sz w:val="18"/>
              </w:rPr>
              <w:t>Section</w:t>
            </w:r>
          </w:p>
        </w:tc>
        <w:tc>
          <w:tcPr>
            <w:tcW w:type="dxa" w:w="5083"/>
            <w:shd w:fill="3B2A70"/>
            <w:vAlign w:val="center"/>
          </w:tcPr>
          <w:p>
            <w:r>
              <w:rPr>
                <w:b/>
                <w:color w:val="FFFFFF"/>
                <w:sz w:val="18"/>
              </w:rPr>
              <w:t>What you get</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1. Product vision</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Problem, users, value proposition, and product principles</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2. Five-minute demo</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Exact judge flow and talking points</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3. UX and feature map</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What every screen is designed to accomplish</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4. Architecture</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End-to-end data flow and replaceable components</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5. Codebase map</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Where the important files live and why</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6. Pipeline explained</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Classifier, severity, recency, and scoring in plain English</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7. Dashboard explained</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How the Streamlit app computes and displays insights</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8. Data model</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Required fields and data contracts</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9. Testing + Linux Mint runbook</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How to run, verify, and troubleshoot</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10. Source/privacy guardrails</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What the team may and may not collect or show</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11. Production roadmap</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How to evolve storage, ML, ingestion, auth, and CRM integration</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12. Future-team checklist</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What to validate before changing or shipping the product</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13. Known limitations</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What the prototype does not prove yet</w:t>
            </w:r>
          </w:p>
        </w:tc>
      </w:tr>
    </w:tbl>
    <w:p>
      <w:pPr>
        <w:spacing w:after="0"/>
      </w:pPr>
    </w:p>
    <w:p>
      <w:pPr>
        <w:sectPr>
          <w:pgSz w:w="12240" w:h="15840"/>
          <w:pgMar w:top="1008" w:right="1037" w:bottom="936" w:left="1037" w:header="720" w:footer="720" w:gutter="0"/>
          <w:cols w:space="720"/>
          <w:docGrid w:linePitch="360"/>
        </w:sectPr>
      </w:pPr>
    </w:p>
    <w:p>
      <w:pPr>
        <w:spacing w:after="60"/>
      </w:pPr>
      <w:r>
        <w:rPr>
          <w:b/>
          <w:color w:val="B7E33D"/>
          <w:sz w:val="17"/>
        </w:rPr>
        <w:t>SECTION 1</w:t>
      </w:r>
    </w:p>
    <w:p>
      <w:pPr>
        <w:pStyle w:val="Heading1"/>
      </w:pPr>
      <w:r>
        <w:t>Product vision</w:t>
      </w:r>
    </w:p>
    <w:p>
      <w:r>
        <w:t>Payroll and HCM review sites contain useful competitive signal, but the raw information is slow to read, unevenly structured, and difficult to use during a sales cycle. Signal converts that raw complaint stream into an explainable market-pressure view.</w:t>
      </w:r>
    </w:p>
    <w:p>
      <w:pPr>
        <w:pStyle w:val="Heading2"/>
      </w:pPr>
      <w:r>
        <w:t>What Signal is</w:t>
      </w:r>
    </w:p>
    <w:p>
      <w:pPr>
        <w:pStyle w:val="ListBullet"/>
      </w:pPr>
      <w:r>
        <w:t>A competitive-intelligence dashboard for public payroll/HCM review data.</w:t>
      </w:r>
    </w:p>
    <w:p>
      <w:pPr>
        <w:pStyle w:val="ListBullet"/>
      </w:pPr>
      <w:r>
        <w:t>A prioritization layer that ranks provider + failure-theme combinations by Switching Pressure.</w:t>
      </w:r>
    </w:p>
    <w:p>
      <w:pPr>
        <w:pStyle w:val="ListBullet"/>
      </w:pPr>
      <w:r>
        <w:t>A segmentation tool that shows which company sizes, industries, and regions report the pain.</w:t>
      </w:r>
    </w:p>
    <w:p>
      <w:pPr>
        <w:pStyle w:val="ListBullet"/>
      </w:pPr>
      <w:r>
        <w:t>A sales-enablement tool that turns evidence into discovery questions and downloadable battlecards.</w:t>
      </w:r>
    </w:p>
    <w:p>
      <w:pPr>
        <w:pStyle w:val="Heading2"/>
      </w:pPr>
      <w:r>
        <w:t>What Signal is not</w:t>
      </w:r>
    </w:p>
    <w:p>
      <w:pPr>
        <w:pStyle w:val="ListBullet"/>
      </w:pPr>
      <w:r>
        <w:t>It is not a churn-prediction model.</w:t>
      </w:r>
    </w:p>
    <w:p>
      <w:pPr>
        <w:pStyle w:val="ListBullet"/>
      </w:pPr>
      <w:r>
        <w:t>It is not proof that a complaint pattern applies to every customer of a provider.</w:t>
      </w:r>
    </w:p>
    <w:p>
      <w:pPr>
        <w:pStyle w:val="ListBullet"/>
      </w:pPr>
      <w:r>
        <w:t>It is not permission to scrape a site whose terms prohibit automated access.</w:t>
      </w:r>
    </w:p>
    <w:p>
      <w:pPr>
        <w:pStyle w:val="ListBullet"/>
      </w:pPr>
      <w:r>
        <w:t>It is not a lead-generation tool and does not identify or contact reviewers.</w:t>
      </w:r>
    </w:p>
    <w:p>
      <w:pPr>
        <w:pStyle w:val="ListBullet"/>
      </w:pPr>
      <w:r>
        <w:t>It does not invent PayFwds product claims. Reps must validate capabilities before positioning them.</w:t>
      </w:r>
    </w:p>
    <w:tbl>
      <w:tblPr>
        <w:tblW w:type="auto" w:w="0"/>
        <w:jc w:val="center"/>
        <w:tblLook w:firstColumn="1" w:firstRow="1" w:lastColumn="0" w:lastRow="0" w:noHBand="0" w:noVBand="1" w:val="04A0"/>
      </w:tblPr>
      <w:tblGrid>
        <w:gridCol w:w="10166"/>
      </w:tblGrid>
      <w:tr>
        <w:tc>
          <w:tcPr>
            <w:tcW w:type="dxa" w:w="10166"/>
            <w:shd w:fill="F4F5F8"/>
            <w:tcBorders>
              <w:top w:val="single" w:sz="10" w:color="B7E33D"/>
              <w:left w:val="single" w:sz="10" w:color="B7E33D"/>
              <w:bottom w:val="single" w:sz="10" w:color="B7E33D"/>
              <w:right w:val="single" w:sz="10" w:color="B7E33D"/>
              <w:insideH w:val="single" w:sz="10" w:color="B7E33D"/>
              <w:insideV w:val="single" w:sz="10" w:color="B7E33D"/>
            </w:tcBorders>
          </w:tcPr>
          <w:p>
            <w:r>
              <w:rPr>
                <w:b/>
                <w:color w:val="3B2A70"/>
                <w:sz w:val="21"/>
              </w:rPr>
              <w:t>Product principle</w:t>
              <w:br/>
            </w:r>
            <w:r>
              <w:rPr>
                <w:color w:val="1B1B1F"/>
                <w:sz w:val="19"/>
              </w:rPr>
              <w:t>Evidence first, sales action second. The product should make the original source and analytical assumptions visible enough that a rep can use the insight responsibly.</w:t>
            </w:r>
          </w:p>
        </w:tc>
      </w:tr>
    </w:tbl>
    <w:p>
      <w:pPr>
        <w:spacing w:after="0"/>
      </w:pPr>
    </w:p>
    <w:p>
      <w:pPr>
        <w:sectPr>
          <w:pgSz w:w="12240" w:h="15840"/>
          <w:pgMar w:top="1008" w:right="1037" w:bottom="936" w:left="1037" w:header="720" w:footer="720" w:gutter="0"/>
          <w:cols w:space="720"/>
          <w:docGrid w:linePitch="360"/>
        </w:sectPr>
      </w:pPr>
    </w:p>
    <w:p>
      <w:pPr>
        <w:spacing w:after="60"/>
      </w:pPr>
      <w:r>
        <w:rPr>
          <w:b/>
          <w:color w:val="B7E33D"/>
          <w:sz w:val="17"/>
        </w:rPr>
        <w:t>SECTION 2</w:t>
      </w:r>
    </w:p>
    <w:p>
      <w:pPr>
        <w:pStyle w:val="Heading1"/>
      </w:pPr>
      <w:r>
        <w:t>Five-minute judge demo</w:t>
      </w:r>
    </w:p>
    <w:p>
      <w:pPr>
        <w:pStyle w:val="ListNumber"/>
      </w:pPr>
      <w:r>
        <w:t>Open the app and point to the four executive cards. Explain that the product immediately summarizes highest switching pressure, the weakest provider signal, the fastest-rising complaint theme, and the most exposed customer segment.</w:t>
      </w:r>
    </w:p>
    <w:p>
      <w:pPr>
        <w:pStyle w:val="ListNumber"/>
      </w:pPr>
      <w:r>
        <w:t>Open Overview. Show the provider pressure ranking and the provider × failure-theme heatmap. Explain that the score combines complaint volume, severity, and recency.</w:t>
      </w:r>
    </w:p>
    <w:p>
      <w:pPr>
        <w:pStyle w:val="ListNumber"/>
      </w:pPr>
      <w:r>
        <w:t>Show Complaint Movement. Explain that a sales leader can see whether a complaint theme is becoming more or less common over time instead of relying on a static snapshot.</w:t>
      </w:r>
    </w:p>
    <w:p>
      <w:pPr>
        <w:pStyle w:val="ListNumber"/>
      </w:pPr>
      <w:r>
        <w:t>Open Provider Intel and select one provider. Show top pain, average severity, exposed segments, and representative source-attributed complaint excerpts.</w:t>
      </w:r>
    </w:p>
    <w:p>
      <w:pPr>
        <w:pStyle w:val="ListNumber"/>
      </w:pPr>
      <w:r>
        <w:t>Open Battlecards. Show how the strongest themes become discovery questions rather than unsupported competitive claims. Download the Markdown battlecard.</w:t>
      </w:r>
    </w:p>
    <w:p>
      <w:pPr>
        <w:pStyle w:val="ListNumber"/>
      </w:pPr>
      <w:r>
        <w:t>Open Methodology. Show the formula and privacy/source guardrails. End by explaining how production ingestion and an LLM classifier can replace the demo components without changing the product workflow.</w:t>
      </w:r>
    </w:p>
    <w:tbl>
      <w:tblPr>
        <w:tblW w:type="auto" w:w="0"/>
        <w:jc w:val="center"/>
        <w:tblLook w:firstColumn="1" w:firstRow="1" w:lastColumn="0" w:lastRow="0" w:noHBand="0" w:noVBand="1" w:val="04A0"/>
      </w:tblPr>
      <w:tblGrid>
        <w:gridCol w:w="10166"/>
      </w:tblGrid>
      <w:tr>
        <w:tc>
          <w:tcPr>
            <w:tcW w:type="dxa" w:w="10166"/>
            <w:shd w:fill="F4F5F8"/>
            <w:tcBorders>
              <w:top w:val="single" w:sz="10" w:color="B7E33D"/>
              <w:left w:val="single" w:sz="10" w:color="B7E33D"/>
              <w:bottom w:val="single" w:sz="10" w:color="B7E33D"/>
              <w:right w:val="single" w:sz="10" w:color="B7E33D"/>
              <w:insideH w:val="single" w:sz="10" w:color="B7E33D"/>
              <w:insideV w:val="single" w:sz="10" w:color="B7E33D"/>
            </w:tcBorders>
          </w:tcPr>
          <w:p>
            <w:r>
              <w:rPr>
                <w:b/>
                <w:color w:val="3B2A70"/>
                <w:sz w:val="21"/>
              </w:rPr>
              <w:t>One-sentence pitch</w:t>
              <w:br/>
            </w:r>
            <w:r>
              <w:rPr>
                <w:color w:val="1B1B1F"/>
                <w:sz w:val="19"/>
              </w:rPr>
              <w:t>PayFwds Signal tells a salesperson where a competitor is failing, who is feeling the pain, and what to ask next — before the sales call starts.</w:t>
            </w:r>
          </w:p>
        </w:tc>
      </w:tr>
    </w:tbl>
    <w:p>
      <w:pPr>
        <w:spacing w:after="0"/>
      </w:pPr>
    </w:p>
    <w:p>
      <w:pPr>
        <w:sectPr>
          <w:pgSz w:w="12240" w:h="15840"/>
          <w:pgMar w:top="1008" w:right="1037" w:bottom="936" w:left="1037" w:header="720" w:footer="720" w:gutter="0"/>
          <w:cols w:space="720"/>
          <w:docGrid w:linePitch="360"/>
        </w:sectPr>
      </w:pPr>
    </w:p>
    <w:p>
      <w:pPr>
        <w:spacing w:after="60"/>
      </w:pPr>
      <w:r>
        <w:rPr>
          <w:b/>
          <w:color w:val="B7E33D"/>
          <w:sz w:val="17"/>
        </w:rPr>
        <w:t>SECTION 3</w:t>
      </w:r>
    </w:p>
    <w:p>
      <w:pPr>
        <w:pStyle w:val="Heading1"/>
      </w:pPr>
      <w:r>
        <w:t>UX and feature map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3B2A70"/>
            <w:vAlign w:val="center"/>
          </w:tcPr>
          <w:p>
            <w:r>
              <w:rPr>
                <w:b/>
                <w:color w:val="FFFFFF"/>
                <w:sz w:val="18"/>
              </w:rPr>
              <w:t>Area</w:t>
            </w:r>
          </w:p>
        </w:tc>
        <w:tc>
          <w:tcPr>
            <w:tcW w:type="dxa" w:w="3389"/>
            <w:shd w:fill="3B2A70"/>
            <w:vAlign w:val="center"/>
          </w:tcPr>
          <w:p>
            <w:r>
              <w:rPr>
                <w:b/>
                <w:color w:val="FFFFFF"/>
                <w:sz w:val="18"/>
              </w:rPr>
              <w:t>Purpose</w:t>
            </w:r>
          </w:p>
        </w:tc>
        <w:tc>
          <w:tcPr>
            <w:tcW w:type="dxa" w:w="3389"/>
            <w:shd w:fill="3B2A70"/>
            <w:vAlign w:val="center"/>
          </w:tcPr>
          <w:p>
            <w:r>
              <w:rPr>
                <w:b/>
                <w:color w:val="FFFFFF"/>
                <w:sz w:val="18"/>
              </w:rPr>
              <w:t>Why it matters</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Hero + executive cards</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Orient the user in seconds</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Judges and salespeople immediately see the highest-value signal without learning the interface</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Overview</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Compare providers and themes</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Makes weak spots visible across the competitive landscape</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Complaint movement</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Show time movement</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Prevents one old complaint cluster from looking like a current problem</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Provider Intel</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Drill into one competitor</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Supports account preparation and evidence review</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Representative complaints</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Show short source-attributed excerpts</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Keeps the analysis traceable without exposing reviewer identity</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Battlecards</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Turn evidence into discovery prompts</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Makes the analysis usable by a salesperson, not just an analyst</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Methodology</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Explain formula and rules</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Builds trust and keeps the prototype auditable</w:t>
            </w:r>
          </w:p>
        </w:tc>
      </w:tr>
    </w:tbl>
    <w:p>
      <w:pPr>
        <w:spacing w:after="0"/>
      </w:pPr>
    </w:p>
    <w:p>
      <w:pPr>
        <w:pStyle w:val="Heading2"/>
      </w:pPr>
      <w:r>
        <w:t>Executive cards</w:t>
      </w:r>
    </w:p>
    <w:p>
      <w:pPr>
        <w:pStyle w:val="ListBullet"/>
      </w:pPr>
      <w:r>
        <w:t>Highest Switching Pressure: the provider + failure theme with the top 0–100 score in the current filtered view.</w:t>
      </w:r>
    </w:p>
    <w:p>
      <w:pPr>
        <w:pStyle w:val="ListBullet"/>
      </w:pPr>
      <w:r>
        <w:t>Weakest Provider Signal: a provider-level index that blends its strongest failure signal with its average failure pressure.</w:t>
      </w:r>
    </w:p>
    <w:p>
      <w:pPr>
        <w:pStyle w:val="ListBullet"/>
      </w:pPr>
      <w:r>
        <w:t>Fastest-Rising Complaint: the failure theme with the largest count increase in the latest 45-day window versus the prior 45-day window.</w:t>
      </w:r>
    </w:p>
    <w:p>
      <w:pPr>
        <w:pStyle w:val="ListBullet"/>
      </w:pPr>
      <w:r>
        <w:t>Most Exposed Segment: the company-size + industry pair with the strongest complaint-count × severity pattern.</w:t>
      </w:r>
    </w:p>
    <w:p>
      <w:pPr>
        <w:sectPr>
          <w:pgSz w:w="12240" w:h="15840"/>
          <w:pgMar w:top="1008" w:right="1037" w:bottom="936" w:left="1037" w:header="720" w:footer="720" w:gutter="0"/>
          <w:cols w:space="720"/>
          <w:docGrid w:linePitch="360"/>
        </w:sectPr>
      </w:pPr>
    </w:p>
    <w:p>
      <w:pPr>
        <w:spacing w:after="60"/>
      </w:pPr>
      <w:r>
        <w:rPr>
          <w:b/>
          <w:color w:val="B7E33D"/>
          <w:sz w:val="17"/>
        </w:rPr>
        <w:t>SECTION 4</w:t>
      </w:r>
    </w:p>
    <w:p>
      <w:pPr>
        <w:pStyle w:val="Heading1"/>
      </w:pPr>
      <w:r>
        <w:t>Architecture</w:t>
      </w:r>
    </w:p>
    <w:p>
      <w:r>
        <w:t>The design deliberately separates collection, intelligence, analytics, and presentation. That lets future teams upgrade one layer without rewriting everything else.</w:t>
      </w:r>
    </w:p>
    <w:p>
      <w:pPr>
        <w:jc w:val="center"/>
      </w:pPr>
      <w:r>
        <w:drawing>
          <wp:inline xmlns:a="http://schemas.openxmlformats.org/drawingml/2006/main" xmlns:pic="http://schemas.openxmlformats.org/drawingml/2006/picture">
            <wp:extent cx="6400800" cy="18491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1849120"/>
                    </a:xfrm>
                    <a:prstGeom prst="rect"/>
                  </pic:spPr>
                </pic:pic>
              </a:graphicData>
            </a:graphic>
          </wp:inline>
        </w:drawing>
      </w:r>
    </w:p>
    <w:p>
      <w:pPr>
        <w:pStyle w:val="Heading2"/>
      </w:pPr>
      <w:r>
        <w:t>Architecture in plain English</w:t>
      </w:r>
    </w:p>
    <w:p>
      <w:pPr>
        <w:pStyle w:val="ListNumber"/>
      </w:pPr>
      <w:r>
        <w:t>Allowed sources: review data arrives from an API, licensed/published dataset, or another source whose terms allow automated access.</w:t>
      </w:r>
    </w:p>
    <w:p>
      <w:pPr>
        <w:pStyle w:val="ListNumber"/>
      </w:pPr>
      <w:r>
        <w:t>Ingestion: the system normalizes provider name, review text, date, source, rating, and self-reported company attributes.</w:t>
      </w:r>
    </w:p>
    <w:p>
      <w:pPr>
        <w:pStyle w:val="ListNumber"/>
      </w:pPr>
      <w:r>
        <w:t>Intelligence: each negative review is mapped to a failure category, severity level, and confidence value.</w:t>
      </w:r>
    </w:p>
    <w:p>
      <w:pPr>
        <w:pStyle w:val="ListNumber"/>
      </w:pPr>
      <w:r>
        <w:t>Analytics: reviews are grouped by provider, theme, customer segment, and time. Switching Pressure is calculated from volume, severity, and recency.</w:t>
      </w:r>
    </w:p>
    <w:p>
      <w:pPr>
        <w:pStyle w:val="ListNumber"/>
      </w:pPr>
      <w:r>
        <w:t>Sales brief: the UI shows rankings, trends, representative evidence, and discovery questions.</w:t>
      </w:r>
    </w:p>
    <w:p>
      <w:pPr>
        <w:sectPr>
          <w:pgSz w:w="12240" w:h="15840"/>
          <w:pgMar w:top="1008" w:right="1037" w:bottom="936" w:left="1037" w:header="720" w:footer="720" w:gutter="0"/>
          <w:cols w:space="720"/>
          <w:docGrid w:linePitch="360"/>
        </w:sectPr>
      </w:pPr>
    </w:p>
    <w:p>
      <w:pPr>
        <w:spacing w:after="60"/>
      </w:pPr>
      <w:r>
        <w:rPr>
          <w:b/>
          <w:color w:val="B7E33D"/>
          <w:sz w:val="17"/>
        </w:rPr>
        <w:t>SECTION 5</w:t>
      </w:r>
    </w:p>
    <w:p>
      <w:pPr>
        <w:pStyle w:val="Heading1"/>
      </w:pPr>
      <w:r>
        <w:t>Codebase map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3B2A70"/>
            <w:vAlign w:val="center"/>
          </w:tcPr>
          <w:p>
            <w:r>
              <w:rPr>
                <w:b/>
                <w:color w:val="FFFFFF"/>
                <w:sz w:val="18"/>
              </w:rPr>
              <w:t>Path</w:t>
            </w:r>
          </w:p>
        </w:tc>
        <w:tc>
          <w:tcPr>
            <w:tcW w:type="dxa" w:w="3389"/>
            <w:shd w:fill="3B2A70"/>
            <w:vAlign w:val="center"/>
          </w:tcPr>
          <w:p>
            <w:r>
              <w:rPr>
                <w:b/>
                <w:color w:val="FFFFFF"/>
                <w:sz w:val="18"/>
              </w:rPr>
              <w:t>Responsibility</w:t>
            </w:r>
          </w:p>
        </w:tc>
        <w:tc>
          <w:tcPr>
            <w:tcW w:type="dxa" w:w="3389"/>
            <w:shd w:fill="3B2A70"/>
            <w:vAlign w:val="center"/>
          </w:tcPr>
          <w:p>
            <w:r>
              <w:rPr>
                <w:b/>
                <w:color w:val="FFFFFF"/>
                <w:sz w:val="18"/>
              </w:rPr>
              <w:t>Layman explanation</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src/app.py</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Streamlit UI + dashboard calculations</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The storefront. It decides what the user sees and how filters change the analysis.</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src/pipeline.py</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Classification, severity, recency, scoring</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The analytical brain. It turns review text into structured signals.</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data/sample_reviews.csv</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Synthetic demo input</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A safe fake dataset that lets the product run without scraping live review sites.</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.streamlit/config.toml</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Brand theme</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Controls the dark app theme and primary PayFwds accent color.</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run_linux_mint.sh</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One-command launcher</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Creates a local Python environment, installs dependencies, and starts the app.</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tests/test_pipeline.py</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Basic automated tests</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A small alarm system that catches accidental changes to core scoring/classification behavior.</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docs/...Handoff.docx</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This document</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The owner’s manual for the next team.</w:t>
            </w:r>
          </w:p>
        </w:tc>
      </w:tr>
    </w:tbl>
    <w:p>
      <w:pPr>
        <w:spacing w:after="0"/>
      </w:pPr>
    </w:p>
    <w:p>
      <w:pPr>
        <w:sectPr>
          <w:pgSz w:w="12240" w:h="15840"/>
          <w:pgMar w:top="1008" w:right="1037" w:bottom="936" w:left="1037" w:header="720" w:footer="720" w:gutter="0"/>
          <w:cols w:space="720"/>
          <w:docGrid w:linePitch="360"/>
        </w:sectPr>
      </w:pPr>
    </w:p>
    <w:p>
      <w:pPr>
        <w:spacing w:after="60"/>
      </w:pPr>
      <w:r>
        <w:rPr>
          <w:b/>
          <w:color w:val="B7E33D"/>
          <w:sz w:val="17"/>
        </w:rPr>
        <w:t>SECTION 6</w:t>
      </w:r>
    </w:p>
    <w:p>
      <w:pPr>
        <w:pStyle w:val="Heading1"/>
      </w:pPr>
      <w:r>
        <w:t>Pipeline explained in plain English</w:t>
      </w:r>
    </w:p>
    <w:p>
      <w:pPr>
        <w:pStyle w:val="Heading2"/>
      </w:pPr>
      <w:r>
        <w:t>1. Review object</w:t>
      </w:r>
    </w:p>
    <w:p>
      <w:r>
        <w:t>`Review` is a small Python data structure that gives every review the same shape. That matters because raw source formats will differ in production.</w:t>
      </w:r>
    </w:p>
    <w:p>
      <w:pPr>
        <w:pStyle w:val="CodeBlock"/>
      </w:pPr>
      <w:r>
        <w:t>Review(provider, text, rating, review_date, source, company_size, industry, region)</w:t>
      </w:r>
    </w:p>
    <w:p>
      <w:pPr>
        <w:pStyle w:val="Heading2"/>
      </w:pPr>
      <w:r>
        <w:t>2. Category classification</w:t>
      </w:r>
    </w:p>
    <w:p>
      <w:r>
        <w:t>`classify_category()` scans the text for category-specific keywords. The category with the most matches wins. If no keyword matches, the review becomes `other`. This approach is intentionally simple and explainable.</w:t>
      </w:r>
    </w:p>
    <w:tbl>
      <w:tblPr>
        <w:tblStyle w:val="TableGrid"/>
        <w:tblW w:type="auto" w:w="0"/>
        <w:jc w:val="center"/>
        <w:tblLook w:firstColumn="1" w:firstRow="1" w:lastColumn="0" w:lastRow="0" w:noHBand="0" w:noVBand="1" w:val="04A0"/>
      </w:tblPr>
      <w:tblGrid>
        <w:gridCol w:w="5083"/>
        <w:gridCol w:w="5083"/>
      </w:tblGrid>
      <w:tr>
        <w:tc>
          <w:tcPr>
            <w:tcW w:type="dxa" w:w="5083"/>
            <w:shd w:fill="3B2A70"/>
            <w:vAlign w:val="center"/>
          </w:tcPr>
          <w:p>
            <w:r>
              <w:rPr>
                <w:b/>
                <w:color w:val="FFFFFF"/>
                <w:sz w:val="18"/>
              </w:rPr>
              <w:t>Category</w:t>
            </w:r>
          </w:p>
        </w:tc>
        <w:tc>
          <w:tcPr>
            <w:tcW w:type="dxa" w:w="5083"/>
            <w:shd w:fill="3B2A70"/>
            <w:vAlign w:val="center"/>
          </w:tcPr>
          <w:p>
            <w:r>
              <w:rPr>
                <w:b/>
                <w:color w:val="FFFFFF"/>
                <w:sz w:val="18"/>
              </w:rPr>
              <w:t>Examples of signals</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implementation</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onboarding, setup, migration, go-live, training</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tax_filing</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tax, filing, W-2, 1099, IRS, withholding</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support_response</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support, ticket, response, callback, customer service</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surprise_billing</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billing, fee, charged, invoice, renewal, contract</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reporting</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report, analytics, export, dashboard, data</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integrations</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integration, sync, API, connector, QuickBooks, time clock</w:t>
            </w:r>
          </w:p>
        </w:tc>
      </w:tr>
    </w:tbl>
    <w:p>
      <w:pPr>
        <w:spacing w:after="0"/>
      </w:pPr>
    </w:p>
    <w:p>
      <w:pPr>
        <w:pStyle w:val="Heading2"/>
      </w:pPr>
      <w:r>
        <w:t>3. Severity</w:t>
      </w:r>
    </w:p>
    <w:p>
      <w:r>
        <w:t>`estimate_severity()` combines high-impact phrases and star rating. A penalty, failed payroll, or incorrect tax can force severity 3. Words such as unresolved, broken, or days can raise severity to 2. Very low star ratings also raise severity.</w:t>
      </w:r>
    </w:p>
    <w:p>
      <w:pPr>
        <w:pStyle w:val="Heading2"/>
      </w:pPr>
      <w:r>
        <w:t>4. Recency</w:t>
      </w:r>
    </w:p>
    <w:p>
      <w:r>
        <w:t>`recency_weight()` gives newer complaints more weight using exponential decay. The current implementation has a 180-day half-life, which means a complaint 180 days old contributes roughly half the recency signal of a brand-new complaint.</w:t>
      </w:r>
    </w:p>
    <w:p>
      <w:pPr>
        <w:pStyle w:val="Heading2"/>
      </w:pPr>
      <w:r>
        <w:t>5. Switching Pressure</w:t>
      </w:r>
    </w:p>
    <w:p>
      <w:pPr>
        <w:pStyle w:val="CodeBlock"/>
      </w:pPr>
      <w:r>
        <w:t>score = 100 × (0.45 × normalized_volume + 0.35 × severity + 0.20 × recency)</w:t>
      </w:r>
    </w:p>
    <w:p>
      <w:r>
        <w:t>Volume receives the largest weight, then severity, then recency. Volume is log-normalized so one very large provider does not automatically dominate just because it has more reviews.</w:t>
      </w:r>
    </w:p>
    <w:tbl>
      <w:tblPr>
        <w:tblW w:type="auto" w:w="0"/>
        <w:jc w:val="center"/>
        <w:tblLook w:firstColumn="1" w:firstRow="1" w:lastColumn="0" w:lastRow="0" w:noHBand="0" w:noVBand="1" w:val="04A0"/>
      </w:tblPr>
      <w:tblGrid>
        <w:gridCol w:w="10166"/>
      </w:tblGrid>
      <w:tr>
        <w:tc>
          <w:tcPr>
            <w:tcW w:type="dxa" w:w="10166"/>
            <w:shd w:fill="F4F5F8"/>
            <w:tcBorders>
              <w:top w:val="single" w:sz="10" w:color="B7E33D"/>
              <w:left w:val="single" w:sz="10" w:color="B7E33D"/>
              <w:bottom w:val="single" w:sz="10" w:color="B7E33D"/>
              <w:right w:val="single" w:sz="10" w:color="B7E33D"/>
              <w:insideH w:val="single" w:sz="10" w:color="B7E33D"/>
              <w:insideV w:val="single" w:sz="10" w:color="B7E33D"/>
            </w:tcBorders>
          </w:tcPr>
          <w:p>
            <w:r>
              <w:rPr>
                <w:b/>
                <w:color w:val="3B2A70"/>
                <w:sz w:val="21"/>
              </w:rPr>
              <w:t>Why this matters</w:t>
              <w:br/>
            </w:r>
            <w:r>
              <w:rPr>
                <w:color w:val="1B1B1F"/>
                <w:sz w:val="19"/>
              </w:rPr>
              <w:t>The score is understandable enough to explain to a judge or salesperson. In production, the weights can be tuned using real sales outcomes, but the interface does not need to change.</w:t>
            </w:r>
          </w:p>
        </w:tc>
      </w:tr>
    </w:tbl>
    <w:p>
      <w:pPr>
        <w:spacing w:after="0"/>
      </w:pPr>
    </w:p>
    <w:p>
      <w:pPr>
        <w:sectPr>
          <w:pgSz w:w="12240" w:h="15840"/>
          <w:pgMar w:top="1008" w:right="1037" w:bottom="936" w:left="1037" w:header="720" w:footer="720" w:gutter="0"/>
          <w:cols w:space="720"/>
          <w:docGrid w:linePitch="360"/>
        </w:sectPr>
      </w:pPr>
    </w:p>
    <w:p>
      <w:pPr>
        <w:spacing w:after="60"/>
      </w:pPr>
      <w:r>
        <w:rPr>
          <w:b/>
          <w:color w:val="B7E33D"/>
          <w:sz w:val="17"/>
        </w:rPr>
        <w:t>SECTION 7</w:t>
      </w:r>
    </w:p>
    <w:p>
      <w:pPr>
        <w:pStyle w:val="Heading1"/>
      </w:pPr>
      <w:r>
        <w:t>Dashboard code explained</w:t>
      </w:r>
    </w:p>
    <w:p>
      <w:pPr>
        <w:pStyle w:val="Heading2"/>
      </w:pPr>
      <w:r>
        <w:t>Loading and classifying data</w:t>
      </w:r>
    </w:p>
    <w:p>
      <w:r>
        <w:t>`load_data()` reads the CSV, converts each row into a `Review`, calls the classifier, and produces a Pandas DataFrame containing both original fields and derived fields such as category, severity, confidence, recency, month, and quarter.</w:t>
      </w:r>
    </w:p>
    <w:p>
      <w:pPr>
        <w:pStyle w:val="Heading2"/>
      </w:pPr>
      <w:r>
        <w:t>Filters</w:t>
      </w:r>
    </w:p>
    <w:p>
      <w:r>
        <w:t>The sidebar creates one global filtered DataFrame. Every chart, score, table, complaint excerpt, and battlecard is computed from that same filtered view. This prevents different parts of the app from silently using different populations.</w:t>
      </w:r>
    </w:p>
    <w:p>
      <w:pPr>
        <w:pStyle w:val="Heading2"/>
      </w:pPr>
      <w:r>
        <w:t>Provider rollup</w:t>
      </w:r>
    </w:p>
    <w:p>
      <w:r>
        <w:t>The provider-level “pressure index” is a UI summary: 65% of the provider’s strongest failure-theme score plus 35% of its average failure-theme score. It is useful for ranking, but it is deliberately separate from the core Switching Pressure formula.</w:t>
      </w:r>
    </w:p>
    <w:p>
      <w:pPr>
        <w:pStyle w:val="Heading2"/>
      </w:pPr>
      <w:r>
        <w:t>Fastest-rising theme</w:t>
      </w:r>
    </w:p>
    <w:p>
      <w:r>
        <w:t>The app compares the latest 45 days with the prior 45 days. It ranks themes by the change in complaint count. In a larger production dataset, the window should become configurable and may be replaced with statistically smoother quarter-over-quarter movement.</w:t>
      </w:r>
    </w:p>
    <w:p>
      <w:pPr>
        <w:pStyle w:val="Heading2"/>
      </w:pPr>
      <w:r>
        <w:t>Battlecards</w:t>
      </w:r>
    </w:p>
    <w:p>
      <w:r>
        <w:t>The battlecard builder selects the top one or two failure themes for a competitor and maps them to discovery questions. The key safety design is that the app frames competitor pain as a hypothesis to validate, not a claim that every prospect has the same issue.</w:t>
      </w:r>
    </w:p>
    <w:p>
      <w:pPr>
        <w:sectPr>
          <w:pgSz w:w="12240" w:h="15840"/>
          <w:pgMar w:top="1008" w:right="1037" w:bottom="936" w:left="1037" w:header="720" w:footer="720" w:gutter="0"/>
          <w:cols w:space="720"/>
          <w:docGrid w:linePitch="360"/>
        </w:sectPr>
      </w:pPr>
    </w:p>
    <w:p>
      <w:pPr>
        <w:spacing w:after="60"/>
      </w:pPr>
      <w:r>
        <w:rPr>
          <w:b/>
          <w:color w:val="B7E33D"/>
          <w:sz w:val="17"/>
        </w:rPr>
        <w:t>SECTION 8</w:t>
      </w:r>
    </w:p>
    <w:p>
      <w:pPr>
        <w:pStyle w:val="Heading1"/>
      </w:pPr>
      <w:r>
        <w:t>Data model and contracts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3B2A70"/>
            <w:vAlign w:val="center"/>
          </w:tcPr>
          <w:p>
            <w:r>
              <w:rPr>
                <w:b/>
                <w:color w:val="FFFFFF"/>
                <w:sz w:val="18"/>
              </w:rPr>
              <w:t>Field</w:t>
            </w:r>
          </w:p>
        </w:tc>
        <w:tc>
          <w:tcPr>
            <w:tcW w:type="dxa" w:w="2541"/>
            <w:shd w:fill="3B2A70"/>
            <w:vAlign w:val="center"/>
          </w:tcPr>
          <w:p>
            <w:r>
              <w:rPr>
                <w:b/>
                <w:color w:val="FFFFFF"/>
                <w:sz w:val="18"/>
              </w:rPr>
              <w:t>Type</w:t>
            </w:r>
          </w:p>
        </w:tc>
        <w:tc>
          <w:tcPr>
            <w:tcW w:type="dxa" w:w="2541"/>
            <w:shd w:fill="3B2A70"/>
            <w:vAlign w:val="center"/>
          </w:tcPr>
          <w:p>
            <w:r>
              <w:rPr>
                <w:b/>
                <w:color w:val="FFFFFF"/>
                <w:sz w:val="18"/>
              </w:rPr>
              <w:t>Required?</w:t>
            </w:r>
          </w:p>
        </w:tc>
        <w:tc>
          <w:tcPr>
            <w:tcW w:type="dxa" w:w="2541"/>
            <w:shd w:fill="3B2A70"/>
            <w:vAlign w:val="center"/>
          </w:tcPr>
          <w:p>
            <w:r>
              <w:rPr>
                <w:b/>
                <w:color w:val="FFFFFF"/>
                <w:sz w:val="18"/>
              </w:rPr>
              <w:t>Purpose</w:t>
            </w:r>
          </w:p>
        </w:tc>
      </w:tr>
      <w:tr>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provider</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text</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Yes</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Named payroll/HCM provider</w:t>
            </w:r>
          </w:p>
        </w:tc>
      </w:tr>
      <w:tr>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text</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text</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Yes</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Review body or permitted review excerpt</w:t>
            </w:r>
          </w:p>
        </w:tc>
      </w:tr>
      <w:tr>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rating</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number</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Yes</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Rating used as a severity signal</w:t>
            </w:r>
          </w:p>
        </w:tc>
      </w:tr>
      <w:tr>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review_date</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date</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Yes</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Required for recency and trends</w:t>
            </w:r>
          </w:p>
        </w:tc>
      </w:tr>
      <w:tr>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source</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text / URL reference</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Yes</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Audit trail and quote citation</w:t>
            </w:r>
          </w:p>
        </w:tc>
      </w:tr>
      <w:tr>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company_size</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text</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Preferred</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Segmentation</w:t>
            </w:r>
          </w:p>
        </w:tc>
      </w:tr>
      <w:tr>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industry</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text</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Preferred</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Segmentation</w:t>
            </w:r>
          </w:p>
        </w:tc>
      </w:tr>
      <w:tr>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region</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text</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Preferred</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Segmentation</w:t>
            </w:r>
          </w:p>
        </w:tc>
      </w:tr>
      <w:tr>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category</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derived text</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Derived</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Failure category</w:t>
            </w:r>
          </w:p>
        </w:tc>
      </w:tr>
      <w:tr>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severity</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1–3 integer</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Derived</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Impact estimate</w:t>
            </w:r>
          </w:p>
        </w:tc>
      </w:tr>
      <w:tr>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confidence</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0–1 number</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Derived</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Classifier confidence</w:t>
            </w:r>
          </w:p>
        </w:tc>
      </w:tr>
      <w:tr>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recency</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0–1 number</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Derived</w:t>
            </w:r>
          </w:p>
        </w:tc>
        <w:tc>
          <w:tcPr>
            <w:tcW w:type="dxa" w:w="2541"/>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Time-decay weight</w:t>
            </w:r>
          </w:p>
        </w:tc>
      </w:tr>
    </w:tbl>
    <w:p>
      <w:pPr>
        <w:spacing w:after="0"/>
      </w:pPr>
    </w:p>
    <w:p>
      <w:pPr>
        <w:pStyle w:val="Heading2"/>
      </w:pPr>
      <w:r>
        <w:t>Future ingestion contract</w:t>
      </w:r>
    </w:p>
    <w:p>
      <w:r>
        <w:t>Every source connector should normalize into this common review schema before classification. Source-specific HTML, API payloads, IDs, or pagination details should not leak into the analytical layer.</w:t>
      </w:r>
    </w:p>
    <w:p>
      <w:pPr>
        <w:sectPr>
          <w:pgSz w:w="12240" w:h="15840"/>
          <w:pgMar w:top="1008" w:right="1037" w:bottom="936" w:left="1037" w:header="720" w:footer="720" w:gutter="0"/>
          <w:cols w:space="720"/>
          <w:docGrid w:linePitch="360"/>
        </w:sectPr>
      </w:pPr>
    </w:p>
    <w:p>
      <w:pPr>
        <w:spacing w:after="60"/>
      </w:pPr>
      <w:r>
        <w:rPr>
          <w:b/>
          <w:color w:val="B7E33D"/>
          <w:sz w:val="17"/>
        </w:rPr>
        <w:t>SECTION 9</w:t>
      </w:r>
    </w:p>
    <w:p>
      <w:pPr>
        <w:pStyle w:val="Heading1"/>
      </w:pPr>
      <w:r>
        <w:t>Linux Mint runbook and testing</w:t>
      </w:r>
    </w:p>
    <w:p>
      <w:pPr>
        <w:pStyle w:val="Heading2"/>
      </w:pPr>
      <w:r>
        <w:t>Fastest way to run</w:t>
      </w:r>
    </w:p>
    <w:p>
      <w:pPr>
        <w:pStyle w:val="CodeBlock"/>
      </w:pPr>
      <w:r>
        <w:t>./run_linux_mint.sh</w:t>
      </w:r>
    </w:p>
    <w:p>
      <w:r>
        <w:t>The script creates `.venv` if needed, activates it, installs requirements, and starts Streamlit at `http://localhost:8501`.</w:t>
      </w:r>
    </w:p>
    <w:p>
      <w:pPr>
        <w:pStyle w:val="Heading2"/>
      </w:pPr>
      <w:r>
        <w:t>Manual commands</w:t>
      </w:r>
    </w:p>
    <w:p>
      <w:pPr>
        <w:pStyle w:val="CodeBlock"/>
      </w:pPr>
      <w:r>
        <w:t>python3 -m venv .venv</w:t>
        <w:br/>
        <w:t>source .venv/bin/activate</w:t>
        <w:br/>
        <w:t>pip install -r requirements.txt</w:t>
        <w:br/>
        <w:t>streamlit run src/app.py</w:t>
      </w:r>
    </w:p>
    <w:p>
      <w:pPr>
        <w:pStyle w:val="Heading2"/>
      </w:pPr>
      <w:r>
        <w:t>If Linux Mint is missing venv support</w:t>
      </w:r>
    </w:p>
    <w:p>
      <w:pPr>
        <w:pStyle w:val="CodeBlock"/>
      </w:pPr>
      <w:r>
        <w:t>sudo apt install python3-venv</w:t>
      </w:r>
    </w:p>
    <w:p>
      <w:pPr>
        <w:pStyle w:val="Heading2"/>
      </w:pPr>
      <w:r>
        <w:t>Run tests</w:t>
      </w:r>
    </w:p>
    <w:p>
      <w:pPr>
        <w:pStyle w:val="CodeBlock"/>
      </w:pPr>
      <w:r>
        <w:t>python3 -m pytest -q</w:t>
      </w:r>
    </w:p>
    <w:p>
      <w:r>
        <w:t>The included tests verify category classification, severity handling, recency decay, and that Switching Pressure stays between 0 and 100.</w:t>
      </w:r>
    </w:p>
    <w:p>
      <w:pPr>
        <w:pStyle w:val="Heading2"/>
      </w:pPr>
      <w:r>
        <w:t>Troubleshooting checklist</w:t>
      </w:r>
    </w:p>
    <w:p>
      <w:pPr>
        <w:pStyle w:val="ListBullet"/>
      </w:pPr>
      <w:r>
        <w:t>“File does not exist: app.py” → run `streamlit run src/app.py`, not `streamlit run app.py`.</w:t>
      </w:r>
    </w:p>
    <w:p>
      <w:pPr>
        <w:pStyle w:val="ListBullet"/>
      </w:pPr>
      <w:r>
        <w:t>Module import errors → confirm the virtual environment is activated and dependencies installed.</w:t>
      </w:r>
    </w:p>
    <w:p>
      <w:pPr>
        <w:pStyle w:val="ListBullet"/>
      </w:pPr>
      <w:r>
        <w:t>Port already in use → run `streamlit run src/app.py --server.port 8502`.</w:t>
      </w:r>
    </w:p>
    <w:p>
      <w:pPr>
        <w:pStyle w:val="ListBullet"/>
      </w:pPr>
      <w:r>
        <w:t>Dashboard is empty → inspect sidebar filters and confirm `data/sample_reviews.csv` exists.</w:t>
      </w:r>
    </w:p>
    <w:p>
      <w:pPr>
        <w:pStyle w:val="ListBullet"/>
      </w:pPr>
      <w:r>
        <w:t>Charts look wrong after replacing data → verify dates parse correctly and required segmentation fields are populated.</w:t>
      </w:r>
    </w:p>
    <w:p>
      <w:pPr>
        <w:sectPr>
          <w:pgSz w:w="12240" w:h="15840"/>
          <w:pgMar w:top="1008" w:right="1037" w:bottom="936" w:left="1037" w:header="720" w:footer="720" w:gutter="0"/>
          <w:cols w:space="720"/>
          <w:docGrid w:linePitch="360"/>
        </w:sectPr>
      </w:pPr>
    </w:p>
    <w:p>
      <w:pPr>
        <w:spacing w:after="60"/>
      </w:pPr>
      <w:r>
        <w:rPr>
          <w:b/>
          <w:color w:val="B7E33D"/>
          <w:sz w:val="17"/>
        </w:rPr>
        <w:t>SECTION 10</w:t>
      </w:r>
    </w:p>
    <w:p>
      <w:pPr>
        <w:pStyle w:val="Heading1"/>
      </w:pPr>
      <w:r>
        <w:t>Source, privacy, and compliance guardrails</w:t>
      </w:r>
    </w:p>
    <w:p>
      <w:pPr>
        <w:pStyle w:val="ListBullet"/>
      </w:pPr>
      <w:r>
        <w:t>Collect only from sources whose terms permit automated access, or use an official API / licensed or published dataset.</w:t>
      </w:r>
    </w:p>
    <w:p>
      <w:pPr>
        <w:pStyle w:val="ListBullet"/>
      </w:pPr>
      <w:r>
        <w:t>Respect robots.txt, rate limits, authentication requirements, and source-specific licensing restrictions.</w:t>
      </w:r>
    </w:p>
    <w:p>
      <w:pPr>
        <w:pStyle w:val="ListBullet"/>
      </w:pPr>
      <w:r>
        <w:t>Store the source and source date with every review record.</w:t>
      </w:r>
    </w:p>
    <w:p>
      <w:pPr>
        <w:pStyle w:val="ListBullet"/>
      </w:pPr>
      <w:r>
        <w:t>Do not deanonymize reviewers, enrich reviewer identities, or collect reviewer contact information.</w:t>
      </w:r>
    </w:p>
    <w:p>
      <w:pPr>
        <w:pStyle w:val="ListBullet"/>
      </w:pPr>
      <w:r>
        <w:t>Report patterns in aggregate. Quotes should be short, representative excerpts with source attribution.</w:t>
      </w:r>
    </w:p>
    <w:p>
      <w:pPr>
        <w:pStyle w:val="ListBullet"/>
      </w:pPr>
      <w:r>
        <w:t>Do not claim that synthetic demo findings are real competitive evidence.</w:t>
      </w:r>
    </w:p>
    <w:p>
      <w:pPr>
        <w:pStyle w:val="ListBullet"/>
      </w:pPr>
      <w:r>
        <w:t>Do not infer that competitor weaknesses prove PayFwds has a capability. Product claims require internal validation.</w:t>
      </w:r>
    </w:p>
    <w:tbl>
      <w:tblPr>
        <w:tblW w:type="auto" w:w="0"/>
        <w:jc w:val="center"/>
        <w:tblLook w:firstColumn="1" w:firstRow="1" w:lastColumn="0" w:lastRow="0" w:noHBand="0" w:noVBand="1" w:val="04A0"/>
      </w:tblPr>
      <w:tblGrid>
        <w:gridCol w:w="10166"/>
      </w:tblGrid>
      <w:tr>
        <w:tc>
          <w:tcPr>
            <w:tcW w:type="dxa" w:w="10166"/>
            <w:shd w:fill="F4F5F8"/>
            <w:tcBorders>
              <w:top w:val="single" w:sz="10" w:color="B7E33D"/>
              <w:left w:val="single" w:sz="10" w:color="B7E33D"/>
              <w:bottom w:val="single" w:sz="10" w:color="B7E33D"/>
              <w:right w:val="single" w:sz="10" w:color="B7E33D"/>
              <w:insideH w:val="single" w:sz="10" w:color="B7E33D"/>
              <w:insideV w:val="single" w:sz="10" w:color="B7E33D"/>
            </w:tcBorders>
          </w:tcPr>
          <w:p>
            <w:r>
              <w:rPr>
                <w:b/>
                <w:color w:val="3B2A70"/>
                <w:sz w:val="21"/>
              </w:rPr>
              <w:t>Production gate</w:t>
              <w:br/>
            </w:r>
            <w:r>
              <w:rPr>
                <w:color w:val="1B1B1F"/>
                <w:sz w:val="19"/>
              </w:rPr>
              <w:t>No new source connector should ship until someone has documented why automated access is permitted and what rate/retention rules apply.</w:t>
            </w:r>
          </w:p>
        </w:tc>
      </w:tr>
    </w:tbl>
    <w:p>
      <w:pPr>
        <w:spacing w:after="0"/>
      </w:pPr>
    </w:p>
    <w:p>
      <w:pPr>
        <w:sectPr>
          <w:pgSz w:w="12240" w:h="15840"/>
          <w:pgMar w:top="1008" w:right="1037" w:bottom="936" w:left="1037" w:header="720" w:footer="720" w:gutter="0"/>
          <w:cols w:space="720"/>
          <w:docGrid w:linePitch="360"/>
        </w:sectPr>
      </w:pPr>
    </w:p>
    <w:p>
      <w:pPr>
        <w:spacing w:after="60"/>
      </w:pPr>
      <w:r>
        <w:rPr>
          <w:b/>
          <w:color w:val="B7E33D"/>
          <w:sz w:val="17"/>
        </w:rPr>
        <w:t>SECTION 11</w:t>
      </w:r>
    </w:p>
    <w:p>
      <w:pPr>
        <w:pStyle w:val="Heading1"/>
      </w:pPr>
      <w:r>
        <w:t>Production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3B2A70"/>
            <w:vAlign w:val="center"/>
          </w:tcPr>
          <w:p>
            <w:r>
              <w:rPr>
                <w:b/>
                <w:color w:val="FFFFFF"/>
                <w:sz w:val="18"/>
              </w:rPr>
              <w:t>Phase</w:t>
            </w:r>
          </w:p>
        </w:tc>
        <w:tc>
          <w:tcPr>
            <w:tcW w:type="dxa" w:w="3389"/>
            <w:shd w:fill="3B2A70"/>
            <w:vAlign w:val="center"/>
          </w:tcPr>
          <w:p>
            <w:r>
              <w:rPr>
                <w:b/>
                <w:color w:val="FFFFFF"/>
                <w:sz w:val="18"/>
              </w:rPr>
              <w:t>Build</w:t>
            </w:r>
          </w:p>
        </w:tc>
        <w:tc>
          <w:tcPr>
            <w:tcW w:type="dxa" w:w="3389"/>
            <w:shd w:fill="3B2A70"/>
            <w:vAlign w:val="center"/>
          </w:tcPr>
          <w:p>
            <w:r>
              <w:rPr>
                <w:b/>
                <w:color w:val="FFFFFF"/>
                <w:sz w:val="18"/>
              </w:rPr>
              <w:t>Why</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1 · Data foundation</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Permitted connectors, normalization, dedupe, PostgreSQL/warehouse, source audit table</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Makes the demo reproducible and trustworthy</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2 · Intelligence</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LLM/embedding classifier, labeled evaluation set, confidence calibration, category taxonomy management</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Improves recall without hiding how results were produced</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3 · Trends</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Scheduled snapshots, quarter-over-quarter metrics, significance thresholds, data-quality monitoring</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Separates real movement from noise</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4 · Sales workflow</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SSO, accounts, saved views, CRM enrichment, account-specific battlecards, share links</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Moves Signal into everyday seller workflow</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5 · Alerts</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Threshold-based notifications when provider/theme pressure changes materially</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Turns the product from a dashboard into an ongoing competitive radar</w:t>
            </w:r>
          </w:p>
        </w:tc>
      </w:tr>
      <w:tr>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6 · Governance</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Role-based access, retention rules, source licensing controls, audit logs</w:t>
            </w:r>
          </w:p>
        </w:tc>
        <w:tc>
          <w:tcPr>
            <w:tcW w:type="dxa" w:w="3389"/>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Makes enterprise usage defensible</w:t>
            </w:r>
          </w:p>
        </w:tc>
      </w:tr>
    </w:tbl>
    <w:p>
      <w:pPr>
        <w:spacing w:after="0"/>
      </w:pPr>
    </w:p>
    <w:p>
      <w:pPr>
        <w:pStyle w:val="Heading2"/>
      </w:pPr>
      <w:r>
        <w:t>Recommended production stack</w:t>
      </w:r>
    </w:p>
    <w:p>
      <w:pPr>
        <w:pStyle w:val="ListBullet"/>
      </w:pPr>
      <w:r>
        <w:t>Frontend: React / Next.js or a production Streamlit deployment if iteration speed matters more than custom UX.</w:t>
      </w:r>
    </w:p>
    <w:p>
      <w:pPr>
        <w:pStyle w:val="ListBullet"/>
      </w:pPr>
      <w:r>
        <w:t>API: FastAPI or equivalent Python service that exposes classification and analytics endpoints.</w:t>
      </w:r>
    </w:p>
    <w:p>
      <w:pPr>
        <w:pStyle w:val="ListBullet"/>
      </w:pPr>
      <w:r>
        <w:t>Storage: PostgreSQL for normalized review records; warehouse/lake for larger historical analytics if needed.</w:t>
      </w:r>
    </w:p>
    <w:p>
      <w:pPr>
        <w:pStyle w:val="ListBullet"/>
      </w:pPr>
      <w:r>
        <w:t>Jobs: scheduled worker / orchestrator for ingestion and trend snapshots.</w:t>
      </w:r>
    </w:p>
    <w:p>
      <w:pPr>
        <w:pStyle w:val="ListBullet"/>
      </w:pPr>
      <w:r>
        <w:t>ML: hosted LLM or embedding classifier behind a stable `classify_review` contract.</w:t>
      </w:r>
    </w:p>
    <w:p>
      <w:pPr>
        <w:pStyle w:val="ListBullet"/>
      </w:pPr>
      <w:r>
        <w:t>Observability: structured logs, source ingestion metrics, classifier drift/evaluation dashboard, and alerting.</w:t>
      </w:r>
    </w:p>
    <w:p>
      <w:pPr>
        <w:sectPr>
          <w:pgSz w:w="12240" w:h="15840"/>
          <w:pgMar w:top="1008" w:right="1037" w:bottom="936" w:left="1037" w:header="720" w:footer="720" w:gutter="0"/>
          <w:cols w:space="720"/>
          <w:docGrid w:linePitch="360"/>
        </w:sectPr>
      </w:pPr>
    </w:p>
    <w:p>
      <w:pPr>
        <w:spacing w:after="60"/>
      </w:pPr>
      <w:r>
        <w:rPr>
          <w:b/>
          <w:color w:val="B7E33D"/>
          <w:sz w:val="17"/>
        </w:rPr>
        <w:t>SECTION 12</w:t>
      </w:r>
    </w:p>
    <w:p>
      <w:pPr>
        <w:pStyle w:val="Heading1"/>
      </w:pPr>
      <w:r>
        <w:t>Future-team handoff checklist</w:t>
      </w:r>
    </w:p>
    <w:p>
      <w:pPr>
        <w:pStyle w:val="ListBullet"/>
      </w:pPr>
      <w:r>
        <w:t>Read `README.md`, this document, `src/pipeline.py`, and `src/app.py` before changing architecture.</w:t>
      </w:r>
    </w:p>
    <w:p>
      <w:pPr>
        <w:pStyle w:val="ListBullet"/>
      </w:pPr>
      <w:r>
        <w:t>Run `python3 -m pytest -q` before and after analytical changes.</w:t>
      </w:r>
    </w:p>
    <w:p>
      <w:pPr>
        <w:pStyle w:val="ListBullet"/>
      </w:pPr>
      <w:r>
        <w:t>Treat the schema in Section 8 as a contract; add migrations/versioning if fields change.</w:t>
      </w:r>
    </w:p>
    <w:p>
      <w:pPr>
        <w:pStyle w:val="ListBullet"/>
      </w:pPr>
      <w:r>
        <w:t>Keep the classifier interface stable even if the implementation moves from keywords to an LLM.</w:t>
      </w:r>
    </w:p>
    <w:p>
      <w:pPr>
        <w:pStyle w:val="ListBullet"/>
      </w:pPr>
      <w:r>
        <w:t>Add labeled test examples before adding or renaming failure categories.</w:t>
      </w:r>
    </w:p>
    <w:p>
      <w:pPr>
        <w:pStyle w:val="ListBullet"/>
      </w:pPr>
      <w:r>
        <w:t>Do not tune score weights only because a chart “looks better.” Document the business reason and test historical impact.</w:t>
      </w:r>
    </w:p>
    <w:p>
      <w:pPr>
        <w:pStyle w:val="ListBullet"/>
      </w:pPr>
      <w:r>
        <w:t>Keep source attribution available all the way to representative quotes.</w:t>
      </w:r>
    </w:p>
    <w:p>
      <w:pPr>
        <w:pStyle w:val="ListBullet"/>
      </w:pPr>
      <w:r>
        <w:t>Add data-quality checks for missing provider, text, date, and source fields.</w:t>
      </w:r>
    </w:p>
    <w:p>
      <w:pPr>
        <w:pStyle w:val="ListBullet"/>
      </w:pPr>
      <w:r>
        <w:t>If a source changes its terms, pause that connector until access is revalidated.</w:t>
      </w:r>
    </w:p>
    <w:p>
      <w:pPr>
        <w:pStyle w:val="ListBullet"/>
      </w:pPr>
      <w:r>
        <w:t>Make all competitive claims traceable to data; make all PayFwds claims traceable to internal product truth.</w:t>
      </w:r>
    </w:p>
    <w:p>
      <w:pPr>
        <w:pStyle w:val="Heading2"/>
      </w:pPr>
      <w:r>
        <w:t>Safe extension points</w:t>
      </w:r>
    </w:p>
    <w:tbl>
      <w:tblPr>
        <w:tblStyle w:val="TableGrid"/>
        <w:tblW w:type="auto" w:w="0"/>
        <w:jc w:val="center"/>
        <w:tblLook w:firstColumn="1" w:firstRow="1" w:lastColumn="0" w:lastRow="0" w:noHBand="0" w:noVBand="1" w:val="04A0"/>
      </w:tblPr>
      <w:tblGrid>
        <w:gridCol w:w="5083"/>
        <w:gridCol w:w="5083"/>
      </w:tblGrid>
      <w:tr>
        <w:tc>
          <w:tcPr>
            <w:tcW w:type="dxa" w:w="5083"/>
            <w:shd w:fill="3B2A70"/>
            <w:vAlign w:val="center"/>
          </w:tcPr>
          <w:p>
            <w:r>
              <w:rPr>
                <w:b/>
                <w:color w:val="FFFFFF"/>
                <w:sz w:val="18"/>
              </w:rPr>
              <w:t>Want to change…</w:t>
            </w:r>
          </w:p>
        </w:tc>
        <w:tc>
          <w:tcPr>
            <w:tcW w:type="dxa" w:w="5083"/>
            <w:shd w:fill="3B2A70"/>
            <w:vAlign w:val="center"/>
          </w:tcPr>
          <w:p>
            <w:r>
              <w:rPr>
                <w:b/>
                <w:color w:val="FFFFFF"/>
                <w:sz w:val="18"/>
              </w:rPr>
              <w:t>Best place to change it</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Classification model</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`classify_category()` / `classify_review()` in `src/pipeline.py`</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Severity logic</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`estimate_severity()` in `src/pipeline.py`</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Recency decay</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`recency_weight()` in `src/pipeline.py`</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Core score weights</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`switching_pressure_score()` in `src/pipeline.py`</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Provider-level summary</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`provider_rollup()` in `src/app.py`</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Trend window</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`fastest_rising_theme()` in `src/app.py`</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Sales questions</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`DISCOVERY_QUESTIONS` in `src/app.py`</w:t>
            </w:r>
          </w:p>
        </w:tc>
      </w:tr>
      <w:tr>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Visual design</w:t>
            </w:r>
          </w:p>
        </w:tc>
        <w:tc>
          <w:tcPr>
            <w:tcW w:type="dxa" w:w="5083"/>
            <w:tcBorders>
              <w:top w:val="single" w:sz="6" w:color="D9DDE5"/>
              <w:left w:val="single" w:sz="6" w:color="D9DDE5"/>
              <w:bottom w:val="single" w:sz="6" w:color="D9DDE5"/>
              <w:right w:val="single" w:sz="6" w:color="D9DDE5"/>
              <w:insideH w:val="single" w:sz="6" w:color="D9DDE5"/>
              <w:insideV w:val="single" w:sz="6" w:color="D9DDE5"/>
            </w:tcBorders>
          </w:tcPr>
          <w:p>
            <w:r>
              <w:rPr>
                <w:color w:val="1B1B1F"/>
                <w:sz w:val="17"/>
              </w:rPr>
              <w:t>CSS block + `.streamlit/config.toml`</w:t>
            </w:r>
          </w:p>
        </w:tc>
      </w:tr>
    </w:tbl>
    <w:p>
      <w:pPr>
        <w:spacing w:after="0"/>
      </w:pPr>
    </w:p>
    <w:p>
      <w:pPr>
        <w:sectPr>
          <w:pgSz w:w="12240" w:h="15840"/>
          <w:pgMar w:top="1008" w:right="1037" w:bottom="936" w:left="1037" w:header="720" w:footer="720" w:gutter="0"/>
          <w:cols w:space="720"/>
          <w:docGrid w:linePitch="360"/>
        </w:sectPr>
      </w:pPr>
    </w:p>
    <w:p>
      <w:pPr>
        <w:spacing w:after="60"/>
      </w:pPr>
      <w:r>
        <w:rPr>
          <w:b/>
          <w:color w:val="B7E33D"/>
          <w:sz w:val="17"/>
        </w:rPr>
        <w:t>SECTION 13</w:t>
      </w:r>
    </w:p>
    <w:p>
      <w:pPr>
        <w:pStyle w:val="Heading1"/>
      </w:pPr>
      <w:r>
        <w:t>Known limitations and next validation</w:t>
      </w:r>
    </w:p>
    <w:p>
      <w:pPr>
        <w:pStyle w:val="ListBullet"/>
      </w:pPr>
      <w:r>
        <w:t>The included review dataset is synthetic demo data. It proves product behavior, not market findings.</w:t>
      </w:r>
    </w:p>
    <w:p>
      <w:pPr>
        <w:pStyle w:val="ListBullet"/>
      </w:pPr>
      <w:r>
        <w:t>Keyword classification can miss nuanced complaints and multi-theme reviews.</w:t>
      </w:r>
    </w:p>
    <w:p>
      <w:pPr>
        <w:pStyle w:val="ListBullet"/>
      </w:pPr>
      <w:r>
        <w:t>One review currently receives one primary category; production may need multi-label classification.</w:t>
      </w:r>
    </w:p>
    <w:p>
      <w:pPr>
        <w:pStyle w:val="ListBullet"/>
      </w:pPr>
      <w:r>
        <w:t>The severity model is heuristic and has not been calibrated against sales outcomes or human labels.</w:t>
      </w:r>
    </w:p>
    <w:p>
      <w:pPr>
        <w:pStyle w:val="ListBullet"/>
      </w:pPr>
      <w:r>
        <w:t>The Switching Pressure weights are product assumptions, not statistically learned churn coefficients.</w:t>
      </w:r>
    </w:p>
    <w:p>
      <w:pPr>
        <w:pStyle w:val="ListBullet"/>
      </w:pPr>
      <w:r>
        <w:t>The 45-day trend comparison is sensitive to small sample sizes. Production should include minimum-volume thresholds and quarter-level smoothing.</w:t>
      </w:r>
    </w:p>
    <w:p>
      <w:pPr>
        <w:pStyle w:val="ListBullet"/>
      </w:pPr>
      <w:r>
        <w:t>Company size, industry, and region are only as reliable as the source data. Missing or self-reported fields should be clearly labeled.</w:t>
      </w:r>
    </w:p>
    <w:p>
      <w:pPr>
        <w:pStyle w:val="ListBullet"/>
      </w:pPr>
      <w:r>
        <w:t>No authentication, persistence, scheduled ingestion, CRM integration, or enterprise audit log is included in the starter build.</w:t>
      </w:r>
    </w:p>
    <w:p>
      <w:pPr>
        <w:pStyle w:val="Heading2"/>
      </w:pPr>
      <w:r>
        <w:t>What “done” looks like after the hackathon</w:t>
      </w:r>
    </w:p>
    <w:p>
      <w:pPr>
        <w:pStyle w:val="ListNumber"/>
      </w:pPr>
      <w:r>
        <w:t>Connect at least one clearly permitted, reproducible data source.</w:t>
      </w:r>
    </w:p>
    <w:p>
      <w:pPr>
        <w:pStyle w:val="ListNumber"/>
      </w:pPr>
      <w:r>
        <w:t>Create a labeled evaluation set and measure category/severity accuracy.</w:t>
      </w:r>
    </w:p>
    <w:p>
      <w:pPr>
        <w:pStyle w:val="ListNumber"/>
      </w:pPr>
      <w:r>
        <w:t>Add source links and evidence-level traceability in the UI.</w:t>
      </w:r>
    </w:p>
    <w:p>
      <w:pPr>
        <w:pStyle w:val="ListNumber"/>
      </w:pPr>
      <w:r>
        <w:t>Replace synthetic trend demos with real quarter-over-quarter snapshots.</w:t>
      </w:r>
    </w:p>
    <w:p>
      <w:pPr>
        <w:pStyle w:val="ListNumber"/>
      </w:pPr>
      <w:r>
        <w:t>Validate score weights with sales/product stakeholders.</w:t>
      </w:r>
    </w:p>
    <w:p>
      <w:pPr>
        <w:pStyle w:val="ListNumber"/>
      </w:pPr>
      <w:r>
        <w:t>Add authentication, saved views, and CRM-integrated battlecards for real users.</w:t>
      </w:r>
    </w:p>
    <w:tbl>
      <w:tblPr>
        <w:tblW w:type="auto" w:w="0"/>
        <w:jc w:val="center"/>
        <w:tblLook w:firstColumn="1" w:firstRow="1" w:lastColumn="0" w:lastRow="0" w:noHBand="0" w:noVBand="1" w:val="04A0"/>
      </w:tblPr>
      <w:tblGrid>
        <w:gridCol w:w="10166"/>
      </w:tblGrid>
      <w:tr>
        <w:tc>
          <w:tcPr>
            <w:tcW w:type="dxa" w:w="10166"/>
            <w:shd w:fill="F4F5F8"/>
            <w:tcBorders>
              <w:top w:val="single" w:sz="10" w:color="B7E33D"/>
              <w:left w:val="single" w:sz="10" w:color="B7E33D"/>
              <w:bottom w:val="single" w:sz="10" w:color="B7E33D"/>
              <w:right w:val="single" w:sz="10" w:color="B7E33D"/>
              <w:insideH w:val="single" w:sz="10" w:color="B7E33D"/>
              <w:insideV w:val="single" w:sz="10" w:color="B7E33D"/>
            </w:tcBorders>
          </w:tcPr>
          <w:p>
            <w:r>
              <w:rPr>
                <w:b/>
                <w:color w:val="3B2A70"/>
                <w:sz w:val="21"/>
              </w:rPr>
              <w:t>Ownership note</w:t>
              <w:br/>
            </w:r>
            <w:r>
              <w:rPr>
                <w:color w:val="1B1B1F"/>
                <w:sz w:val="19"/>
              </w:rPr>
              <w:t>The most valuable thing to preserve is not the current UI or keyword list. Preserve the contract: permitted evidence in → explainable competitive signal → source-backed sales action out.</w:t>
            </w:r>
          </w:p>
        </w:tc>
      </w:tr>
    </w:tbl>
    <w:p>
      <w:pPr>
        <w:spacing w:after="0"/>
      </w:pPr>
    </w:p>
    <w:p>
      <w:pPr>
        <w:sectPr>
          <w:pgSz w:w="12240" w:h="15840"/>
          <w:pgMar w:top="1008" w:right="1037" w:bottom="936" w:left="1037" w:header="720" w:footer="720" w:gutter="0"/>
          <w:cols w:space="720"/>
          <w:docGrid w:linePitch="360"/>
        </w:sectPr>
      </w:pPr>
    </w:p>
    <w:p>
      <w:pPr>
        <w:spacing w:after="60"/>
      </w:pPr>
      <w:r>
        <w:rPr>
          <w:b/>
          <w:color w:val="B7E33D"/>
          <w:sz w:val="17"/>
        </w:rPr>
        <w:t>APPENDIX</w:t>
      </w:r>
    </w:p>
    <w:p>
      <w:pPr>
        <w:pStyle w:val="Heading1"/>
      </w:pPr>
      <w:r>
        <w:t>Quick command reference</w:t>
      </w:r>
    </w:p>
    <w:p>
      <w:pPr>
        <w:pStyle w:val="CodeBlock"/>
      </w:pPr>
      <w:r>
        <w:t># Run</w:t>
        <w:br/>
        <w:t>./run_linux_mint.sh</w:t>
        <w:br/>
        <w:br/>
        <w:t># Manual run</w:t>
        <w:br/>
        <w:t>source .venv/bin/activate</w:t>
        <w:br/>
        <w:t>streamlit run src/app.py</w:t>
        <w:br/>
        <w:br/>
        <w:t># Tests</w:t>
        <w:br/>
        <w:t>python3 -m pytest -q</w:t>
        <w:br/>
        <w:br/>
        <w:t># Alternative port</w:t>
        <w:br/>
        <w:t>streamlit run src/app.py --server.port 8502</w:t>
      </w:r>
    </w:p>
    <w:p>
      <w:pPr>
        <w:pStyle w:val="Heading2"/>
      </w:pPr>
      <w:r>
        <w:t>Project handoff summary</w:t>
      </w:r>
    </w:p>
    <w:p>
      <w:r>
        <w:t>PayFwds Signal V2 is intentionally a small, understandable system with a polished sales-facing workflow. The prototype demonstrates the product experience now while keeping clear seams for real ingestion, stronger ML, durable storage, enterprise controls, and CRM activation later.</w:t>
      </w:r>
    </w:p>
    <w:sectPr w:rsidR="00FC693F" w:rsidRPr="0006063C" w:rsidSect="00034616">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673"/>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3B2A70"/>
        <w:sz w:val="16"/>
      </w:rPr>
      <w:t>PAYFWDS SIGNAL  /  PRODUCT + TECHNICAL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B1B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3B2A70"/>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3B2A7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B1B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3B2A7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ind w:left="288" w:right="288"/>
      <w:shd w:fill="F1F3F7"/>
    </w:pPr>
    <w:rPr>
      <w:rFonts w:ascii="Liberation Mono" w:hAnsi="Liberation Mono"/>
      <w:color w:val="1B1B1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