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 y Colombia.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 (ver sección 7)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Coordinación académica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Dra. Omidres Pérez de Carvelli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Por confirmar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 La participación del cuerpo docente es ad honorem.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Instituto Ecuatoriano de Seguridad Social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Gabriela Machado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color w:val="1A2325"/>
          <w:sz w:val="18"/>
        </w:rPr>
        <w:t>Docente por confirmar:</w:t>
      </w:r>
      <w:r>
        <w:rPr>
          <w:b w:val="0"/>
          <w:i w:val="0"/>
          <w:color w:val="1A2325"/>
          <w:sz w:val="18"/>
        </w:rPr>
        <w:t xml:space="preserve"> M5 · C2. La Sociedad comunicará a la Comisión el nombre y la hoja de vida en cuanto se confirme.</w:t>
      </w:r>
    </w:p>
    <w:p>
      <w:pPr>
        <w:spacing w:before="0" w:after="120"/>
      </w:pPr>
      <w:r>
        <w:rPr>
          <w:b/>
          <w:i w:val="0"/>
          <w:color w:val="1A2325"/>
          <w:sz w:val="18"/>
        </w:rPr>
        <w:t>Hojas de vida en trámite:</w:t>
      </w:r>
      <w:r>
        <w:rPr>
          <w:b w:val="0"/>
          <w:i w:val="0"/>
          <w:color w:val="1A2325"/>
          <w:sz w:val="18"/>
        </w:rPr>
        <w:t xml:space="preserve"> Dr. Frank Espinoza; Dra. Gabriela Machado. Se remitirán a la Comisión en cuanto se reciban.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la industria farmacéutica y con el costo de inscripción que fije la directiva de la Sociedad. El auspicio ingresa a la Sociedad de Endocrinología y Diabetes del Austro, que con esos recursos contrata la plataforma y su gestión operativa.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Auspicio y transparencia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cuenta con el auspicio de </w:t>
      </w:r>
      <w:r>
        <w:rPr>
          <w:b/>
          <w:i w:val="0"/>
          <w:color w:val="1A2325"/>
        </w:rPr>
        <w:t>Boehringer Ingelheim, Laboratorios Elea y Laboratorio Saval</w:t>
      </w:r>
      <w:r>
        <w:rPr>
          <w:b w:val="0"/>
          <w:i w:val="0"/>
          <w:color w:val="1A2325"/>
        </w:rPr>
        <w:t>. Los auspiciantes no intervienen en la selección de docentes, en la definición de los contenidos ni en la elaboración del material, y no revisan las clases antes de su publicación. Los docentes se comprometen a emplear denominaciones genéricas y a no promover marcas comerciales ni productos específicos.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se dicta en la plataforma saludelearning.com, operada por </w:t>
      </w:r>
      <w:r>
        <w:rPr>
          <w:b/>
          <w:i w:val="0"/>
          <w:color w:val="1A2325"/>
        </w:rPr>
        <w:t>Omisalud Cía. Ltda.</w:t>
      </w:r>
      <w:r>
        <w:rPr>
          <w:b w:val="0"/>
          <w:i w:val="0"/>
          <w:color w:val="1A2325"/>
        </w:rPr>
        <w:t xml:space="preserve"> (RUC 0190491641001), compañía de la cual la coordinadora académica, Dra. Omidres Pérez de Carvelli, es socia con el 50 % del capital social y ejerce la Presidencia. La Sociedad contrata el uso de la plataforma y su gestión operativa (montaje del curso, soporte a los participantes, matrículas y certificados) mediante factura emitida por Omisalud Cía. Ltda. y cancelada en su cuenta corporativa nacional. Los auspiciantes no realizan pago alguno a la compañía. La coordinadora académica no participó en la decisión de contratación, que corresponde a la Sociedad.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La participación de todo el cuerpo docente es ad honorem, incluida la de la coordinadora académica, quien no percibe remuneración alguna por la coordinación ni por la docencia. La clase a su cargo, «Fundamentos de salud digital y telemedicina en enfermedades crónicas», no aborda productos farmacéuticos ni dispositivos de ninguno de los auspiciantes.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Los docentes suscriben una declaración de conflicto de interés, que la Sociedad conserva y pone a disposición de la Comisión.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8. Anexos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 (22 de 24).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2.</w:t>
      </w:r>
      <w:r>
        <w:rPr>
          <w:b w:val="0"/>
          <w:i w:val="0"/>
          <w:color w:val="1A2325"/>
        </w:rPr>
        <w:t xml:space="preserve"> Declaraciones de conflicto de interés recibidas a la fecha.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