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shd w:val="clear" w:color="auto" w:fill="FBF1DC"/>
      </w:pPr>
      <w:r>
        <w:rPr>
          <w:rFonts w:ascii="Arial" w:hAnsi="Arial"/>
          <w:b/>
          <w:i w:val="0"/>
          <w:color w:val="1A2325"/>
          <w:sz w:val="17"/>
        </w:rPr>
        <w:t>Para la Dra. Álvarez.</w:t>
      </w:r>
      <w:r>
        <w:rPr>
          <w:rFonts w:ascii="Arial" w:hAnsi="Arial"/>
          <w:b w:val="0"/>
          <w:i w:val="0"/>
          <w:color w:val="1A2325"/>
          <w:sz w:val="17"/>
        </w:rPr>
        <w:t xml:space="preserve"> Este borrador lo preparó la coordinación académica del curso con los datos que usted nos hizo llegar y con sus publicaciones indexadas en PubMed. Le pedimos que lo revise: corrija lo que haga falta, complete lo marcado como </w:t>
      </w:r>
      <w:r>
        <w:rPr>
          <w:rFonts w:ascii="Arial" w:hAnsi="Arial"/>
          <w:b/>
          <w:i w:val="0"/>
          <w:color w:val="A4161A"/>
          <w:sz w:val="17"/>
        </w:rPr>
        <w:t>POR CONFIRMAR</w:t>
      </w:r>
      <w:r>
        <w:rPr>
          <w:rFonts w:ascii="Arial" w:hAnsi="Arial"/>
          <w:b w:val="0"/>
          <w:i w:val="0"/>
          <w:color w:val="1A2325"/>
          <w:sz w:val="17"/>
        </w:rPr>
        <w:t xml:space="preserve"> y confírmenos que podemos presentarlo en su nombre a la Universidad de Cuenca.</w:t>
      </w:r>
    </w:p>
    <w:p>
      <w:pPr>
        <w:spacing w:before="0" w:after="20"/>
      </w:pPr>
      <w:r>
        <w:rPr>
          <w:rFonts w:ascii="Arial" w:hAnsi="Arial"/>
          <w:b/>
          <w:i w:val="0"/>
          <w:color w:val="0D5A62"/>
          <w:sz w:val="36"/>
        </w:rPr>
        <w:t>Dra. Adriana Mabel Álvarez</w:t>
      </w:r>
    </w:p>
    <w:p>
      <w:pPr>
        <w:spacing w:before="0" w:after="80"/>
      </w:pPr>
      <w:r>
        <w:rPr>
          <w:rFonts w:ascii="Arial" w:hAnsi="Arial"/>
          <w:b w:val="0"/>
          <w:i w:val="0"/>
          <w:color w:val="B8852B"/>
          <w:sz w:val="19"/>
        </w:rPr>
        <w:t>Médica endocrinóloga · Hospital Italiano de Buenos Aires · Buenos Aires, Argentina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PERFIL PROFESIONAL</w:t>
      </w:r>
    </w:p>
    <w:p>
      <w:pPr>
        <w:spacing w:before="0" w:after="80"/>
        <w:jc w:val="both"/>
      </w:pPr>
      <w:r>
        <w:rPr>
          <w:rFonts w:ascii="Arial" w:hAnsi="Arial"/>
          <w:b w:val="0"/>
          <w:i w:val="0"/>
          <w:color w:val="1A2325"/>
          <w:sz w:val="18"/>
        </w:rPr>
        <w:t>Médica endocrinóloga con actividad asistencial y de investigación en el Hospital Italiano de Buenos Aires. Su trabajo publicado abarca la diabetes tipo 1 y tipo 2, la relación entre diabetes y depresión, el sueño en la diabetes tipo 1 y, en los últimos años, la enfermedad hepática esteatósica asociada a disfunción metabólica (MASLD) en personas con diabetes tipo 2. Participa en los grupos de trabajo sobre obesidad y esteatosis hepática de la Asociación Latinoamericana de Diabetes (ALAD) y de la Sociedad Argentina de Diabetes (SAD).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CARGO ACTUAL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Médica endocrinóloga</w:t>
      </w:r>
      <w:r>
        <w:rPr>
          <w:rFonts w:ascii="Arial" w:hAnsi="Arial"/>
          <w:b w:val="0"/>
          <w:i w:val="0"/>
          <w:color w:val="1A2325"/>
          <w:sz w:val="18"/>
        </w:rPr>
        <w:t xml:space="preserve"> — Unidad de Endocrinología, Departamento de Medicina General, Hospital Italiano de Buenos Aires (HIBA), Buenos Aires, Argentina.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SOCIEDADES CIENTÍFICAS Y CARGOS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Coordinadora del Grupo de Trabajo Obesidad-MASH</w:t>
      </w:r>
      <w:r>
        <w:rPr>
          <w:rFonts w:ascii="Arial" w:hAnsi="Arial"/>
          <w:b w:val="0"/>
          <w:i w:val="0"/>
          <w:color w:val="1A2325"/>
          <w:sz w:val="18"/>
        </w:rPr>
        <w:t xml:space="preserve"> — Asociación Latinoamericana de Diabetes (ALAD).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Vocal de la Región Sur</w:t>
      </w:r>
      <w:r>
        <w:rPr>
          <w:rFonts w:ascii="Arial" w:hAnsi="Arial"/>
          <w:b w:val="0"/>
          <w:i w:val="0"/>
          <w:color w:val="1A2325"/>
          <w:sz w:val="18"/>
        </w:rPr>
        <w:t xml:space="preserve"> — Asociación Latinoamericana de Diabetes (ALAD).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Miembro del Comité de Esteatosis Hepática Metabólica</w:t>
      </w:r>
      <w:r>
        <w:rPr>
          <w:rFonts w:ascii="Arial" w:hAnsi="Arial"/>
          <w:b w:val="0"/>
          <w:i w:val="0"/>
          <w:color w:val="1A2325"/>
          <w:sz w:val="18"/>
        </w:rPr>
        <w:t xml:space="preserve"> — Sociedad Argentina de Diabetes (SAD).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FORMACIÓN ACADÉMICA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Título de médica — universidad y año </w:t>
      </w:r>
      <w:r>
        <w:rPr>
          <w:rFonts w:ascii="Arial" w:hAnsi="Arial"/>
          <w:b/>
          <w:i w:val="0"/>
          <w:color w:val="A4161A"/>
          <w:sz w:val="18"/>
        </w:rPr>
        <w:t>[POR CONFIRMAR]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Especialidad en Endocrinología — institución y año </w:t>
      </w:r>
      <w:r>
        <w:rPr>
          <w:rFonts w:ascii="Arial" w:hAnsi="Arial"/>
          <w:b/>
          <w:i w:val="0"/>
          <w:color w:val="A4161A"/>
          <w:sz w:val="18"/>
        </w:rPr>
        <w:t>[POR CONFIRMAR]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Otros posgrados, maestrías o certificaciones </w:t>
      </w:r>
      <w:r>
        <w:rPr>
          <w:rFonts w:ascii="Arial" w:hAnsi="Arial"/>
          <w:b/>
          <w:i w:val="0"/>
          <w:color w:val="A4161A"/>
          <w:sz w:val="18"/>
        </w:rPr>
        <w:t>[POR CONFIRMAR]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PUBLICACIONES INDEXADAS (PubMed)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0D5A62"/>
          <w:sz w:val="18"/>
        </w:rPr>
        <w:t>Confirmadas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Suarez B, Álvarez AM, Mascardi MF, Ramos ALM, Woo DH, Gutiérrez MM, et al. Interactions between the gut microbiome and genetic and clinical risk factors for metabolic dysfunction-associated steatotic liver disease (MASLD) in patients with type 2 diabetes mellitus from different geographical regions of Argentina. </w:t>
      </w:r>
      <w:r>
        <w:rPr>
          <w:rFonts w:ascii="Arial" w:hAnsi="Arial"/>
          <w:b w:val="0"/>
          <w:i/>
          <w:color w:val="1A2325"/>
          <w:sz w:val="18"/>
        </w:rPr>
        <w:t>Life (Basel)</w:t>
      </w:r>
      <w:r>
        <w:rPr>
          <w:rFonts w:ascii="Arial" w:hAnsi="Arial"/>
          <w:b w:val="0"/>
          <w:i w:val="0"/>
          <w:color w:val="1A2325"/>
          <w:sz w:val="18"/>
        </w:rPr>
        <w:t xml:space="preserve">. 2026;16(2):283. doi: </w:t>
      </w:r>
      <w:r>
        <w:rPr>
          <w:rFonts w:ascii="Arial" w:hAnsi="Arial"/>
          <w:b w:val="0"/>
          <w:i w:val="0"/>
          <w:color w:val="0D5A62"/>
          <w:sz w:val="18"/>
        </w:rPr>
        <w:t>10.3390/life16020283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Valiensi SM, Folgueira AL, Diez JJ, Gonzalez-Cardozo A, Vera VA, Camji JM, Alvarez AM. Is being a lark healthier for patients with type 1 diabetes mellitus? </w:t>
      </w:r>
      <w:r>
        <w:rPr>
          <w:rFonts w:ascii="Arial" w:hAnsi="Arial"/>
          <w:b w:val="0"/>
          <w:i/>
          <w:color w:val="1A2325"/>
          <w:sz w:val="18"/>
        </w:rPr>
        <w:t>Sleep Sci</w:t>
      </w:r>
      <w:r>
        <w:rPr>
          <w:rFonts w:ascii="Arial" w:hAnsi="Arial"/>
          <w:b w:val="0"/>
          <w:i w:val="0"/>
          <w:color w:val="1A2325"/>
          <w:sz w:val="18"/>
        </w:rPr>
        <w:t xml:space="preserve">. 2023;16(1):75-83. doi: </w:t>
      </w:r>
      <w:r>
        <w:rPr>
          <w:rFonts w:ascii="Arial" w:hAnsi="Arial"/>
          <w:b w:val="0"/>
          <w:i w:val="0"/>
          <w:color w:val="0D5A62"/>
          <w:sz w:val="18"/>
        </w:rPr>
        <w:t>10.1055/s-0043-1767749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Alvarez A, Faccioli J, Guinzbourg M, Castex MM, Bayón C, Masson W, et al. Endocrine and inflammatory profiles in type 2 diabetic patients with and without major depressive disorder. </w:t>
      </w:r>
      <w:r>
        <w:rPr>
          <w:rFonts w:ascii="Arial" w:hAnsi="Arial"/>
          <w:b w:val="0"/>
          <w:i/>
          <w:color w:val="1A2325"/>
          <w:sz w:val="18"/>
        </w:rPr>
        <w:t>BMC Res Notes</w:t>
      </w:r>
      <w:r>
        <w:rPr>
          <w:rFonts w:ascii="Arial" w:hAnsi="Arial"/>
          <w:b w:val="0"/>
          <w:i w:val="0"/>
          <w:color w:val="1A2325"/>
          <w:sz w:val="18"/>
        </w:rPr>
        <w:t xml:space="preserve">. 2013;6:61. doi: </w:t>
      </w:r>
      <w:r>
        <w:rPr>
          <w:rFonts w:ascii="Arial" w:hAnsi="Arial"/>
          <w:b w:val="0"/>
          <w:i w:val="0"/>
          <w:color w:val="0D5A62"/>
          <w:sz w:val="18"/>
        </w:rPr>
        <w:t>10.1186/1756-0500-6-61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0D5A62"/>
          <w:sz w:val="18"/>
        </w:rPr>
        <w:t xml:space="preserve">Probables — firmadas como «Alvarez A», Hospital Italiano de Buenos Aires </w:t>
      </w:r>
      <w:r>
        <w:rPr>
          <w:rFonts w:ascii="Arial" w:hAnsi="Arial"/>
          <w:b/>
          <w:i w:val="0"/>
          <w:color w:val="A4161A"/>
          <w:sz w:val="18"/>
        </w:rPr>
        <w:t>[POR CONFIRMAR]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Lloyd CE, Sartorius N, Ahmed HU, Alvarez A, Bahendeka S, Bobrov AE, et al. Factors associated with the onset of major depressive disorder in adults with type 2 diabetes living in 12 different countries: results from the INTERPRET-DD prospective study. </w:t>
      </w:r>
      <w:r>
        <w:rPr>
          <w:rFonts w:ascii="Arial" w:hAnsi="Arial"/>
          <w:b w:val="0"/>
          <w:i/>
          <w:color w:val="1A2325"/>
          <w:sz w:val="18"/>
        </w:rPr>
        <w:t>Epidemiol Psychiatr Sci</w:t>
      </w:r>
      <w:r>
        <w:rPr>
          <w:rFonts w:ascii="Arial" w:hAnsi="Arial"/>
          <w:b w:val="0"/>
          <w:i w:val="0"/>
          <w:color w:val="1A2325"/>
          <w:sz w:val="18"/>
        </w:rPr>
        <w:t xml:space="preserve">. 2020;29:e134. doi: </w:t>
      </w:r>
      <w:r>
        <w:rPr>
          <w:rFonts w:ascii="Arial" w:hAnsi="Arial"/>
          <w:b w:val="0"/>
          <w:i w:val="0"/>
          <w:color w:val="0D5A62"/>
          <w:sz w:val="18"/>
        </w:rPr>
        <w:t>10.1017/S2045796020000438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Lloyd CE, Nouwen A, Sartorius N, Ahmed HU, Alvarez A, Bahendeka S, et al. Prevalence and correlates of depressive disorders in people with type 2 diabetes: results from the International Prevalence and Treatment of Diabetes and Depression (INTERPRET-DD) study, a collaborative study carried out in 14 countries. </w:t>
      </w:r>
      <w:r>
        <w:rPr>
          <w:rFonts w:ascii="Arial" w:hAnsi="Arial"/>
          <w:b w:val="0"/>
          <w:i/>
          <w:color w:val="1A2325"/>
          <w:sz w:val="18"/>
        </w:rPr>
        <w:t>Diabet Med</w:t>
      </w:r>
      <w:r>
        <w:rPr>
          <w:rFonts w:ascii="Arial" w:hAnsi="Arial"/>
          <w:b w:val="0"/>
          <w:i w:val="0"/>
          <w:color w:val="1A2325"/>
          <w:sz w:val="18"/>
        </w:rPr>
        <w:t xml:space="preserve">. 2018;35(6):760-9. doi: </w:t>
      </w:r>
      <w:r>
        <w:rPr>
          <w:rFonts w:ascii="Arial" w:hAnsi="Arial"/>
          <w:b w:val="0"/>
          <w:i w:val="0"/>
          <w:color w:val="0D5A62"/>
          <w:sz w:val="18"/>
        </w:rPr>
        <w:t>10.1111/dme.13611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Lloyd CE, Sartorius N, Cimino LC, Alvarez A, Guinzbourg de Braude M, Rabbani G, et al. The INTERPRET-DD study of diabetes and depression: a protocol. </w:t>
      </w:r>
      <w:r>
        <w:rPr>
          <w:rFonts w:ascii="Arial" w:hAnsi="Arial"/>
          <w:b w:val="0"/>
          <w:i/>
          <w:color w:val="1A2325"/>
          <w:sz w:val="18"/>
        </w:rPr>
        <w:t>Diabet Med</w:t>
      </w:r>
      <w:r>
        <w:rPr>
          <w:rFonts w:ascii="Arial" w:hAnsi="Arial"/>
          <w:b w:val="0"/>
          <w:i w:val="0"/>
          <w:color w:val="1A2325"/>
          <w:sz w:val="18"/>
        </w:rPr>
        <w:t xml:space="preserve">. 2015;32(7):925-34. doi: </w:t>
      </w:r>
      <w:r>
        <w:rPr>
          <w:rFonts w:ascii="Arial" w:hAnsi="Arial"/>
          <w:b w:val="0"/>
          <w:i w:val="0"/>
          <w:color w:val="0D5A62"/>
          <w:sz w:val="18"/>
        </w:rPr>
        <w:t>10.1111/dme.12719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Litwak LE, Mileo Vaglio R, Alvarez A, Gutman RA. [Self monitoring of capillary blood glucose. Evaluation of long-term results (3 to 7 years)]. </w:t>
      </w:r>
      <w:r>
        <w:rPr>
          <w:rFonts w:ascii="Arial" w:hAnsi="Arial"/>
          <w:b w:val="0"/>
          <w:i/>
          <w:color w:val="1A2325"/>
          <w:sz w:val="18"/>
        </w:rPr>
        <w:t>Medicina (B Aires)</w:t>
      </w:r>
      <w:r>
        <w:rPr>
          <w:rFonts w:ascii="Arial" w:hAnsi="Arial"/>
          <w:b w:val="0"/>
          <w:i w:val="0"/>
          <w:color w:val="1A2325"/>
          <w:sz w:val="18"/>
        </w:rPr>
        <w:t>. 1999;59(1):71-8. Spanish.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325"/>
          <w:sz w:val="18"/>
        </w:rPr>
        <w:t xml:space="preserve">Litwak LE, Mileo Vaglio R, Fried T, De Sancho H, Alvarez A, Althabe O, et al. [Intensified insulin therapy in the management of gestational diabetes]. </w:t>
      </w:r>
      <w:r>
        <w:rPr>
          <w:rFonts w:ascii="Arial" w:hAnsi="Arial"/>
          <w:b w:val="0"/>
          <w:i/>
          <w:color w:val="1A2325"/>
          <w:sz w:val="18"/>
        </w:rPr>
        <w:t>Medicina (B Aires)</w:t>
      </w:r>
      <w:r>
        <w:rPr>
          <w:rFonts w:ascii="Arial" w:hAnsi="Arial"/>
          <w:b w:val="0"/>
          <w:i w:val="0"/>
          <w:color w:val="1A2325"/>
          <w:sz w:val="18"/>
        </w:rPr>
        <w:t>. 1992;52(6):523-33. Spanish.</w:t>
      </w:r>
    </w:p>
    <w:p>
      <w:pPr>
        <w:keepNext/>
        <w:spacing w:before="180" w:after="80"/>
        <w:shd w:val="clear" w:color="auto" w:fill="0D5A62"/>
      </w:pPr>
      <w:r>
        <w:rPr>
          <w:rFonts w:ascii="Arial" w:hAnsi="Arial"/>
          <w:b/>
          <w:i w:val="0"/>
          <w:color w:val="FFFFFF"/>
          <w:sz w:val="20"/>
        </w:rPr>
        <w:t xml:space="preserve"> DOCENCIA EN ESTE CURSO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A2325"/>
          <w:sz w:val="18"/>
        </w:rPr>
        <w:t>Curso virtual de actualización en obesidad, diabetes, nutrición clínica y salud digital</w:t>
      </w:r>
      <w:r>
        <w:rPr>
          <w:rFonts w:ascii="Arial" w:hAnsi="Arial"/>
          <w:b w:val="0"/>
          <w:i w:val="0"/>
          <w:color w:val="1A2325"/>
          <w:sz w:val="18"/>
        </w:rPr>
        <w:t xml:space="preserve"> — Sociedad de Endocrinología y Diabetes del Austro (SEDA), Ecuador. Módulo 6 · Clase 4: </w:t>
      </w:r>
      <w:r>
        <w:rPr>
          <w:rFonts w:ascii="Arial" w:hAnsi="Arial"/>
          <w:b w:val="0"/>
          <w:i/>
          <w:color w:val="1A2325"/>
          <w:sz w:val="18"/>
        </w:rPr>
        <w:t>MASLD y complicaciones metabólicas</w:t>
      </w:r>
      <w:r>
        <w:rPr>
          <w:rFonts w:ascii="Arial" w:hAnsi="Arial"/>
          <w:b w:val="0"/>
          <w:i w:val="0"/>
          <w:color w:val="1A2325"/>
          <w:sz w:val="18"/>
        </w:rPr>
        <w:t>.</w:t>
      </w:r>
    </w:p>
    <w:p>
      <w:pPr>
        <w:spacing w:before="0" w:after="80"/>
        <w:jc w:val="both"/>
      </w:pPr>
      <w:r>
        <w:rPr>
          <w:rFonts w:ascii="Arial" w:hAnsi="Arial"/>
          <w:b w:val="0"/>
          <w:i w:val="0"/>
          <w:color w:val="5F7073"/>
          <w:sz w:val="18"/>
        </w:rPr>
        <w:t>Fuentes de este borrador: datos aportados por la docente a la coordinación académica (cargo y sociedades) y registros de PubMed consultados el 10/10/2026 (publicaciones).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5F7073"/>
        <w:sz w:val="15"/>
      </w:rPr>
      <w:t>Hoja de vida · BORRADOR del 10 de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0D5A62"/>
        <w:sz w:val="16"/>
      </w:rPr>
      <w:t>DRA. ADRIANA MABEL ÁLVAREZ</w:t>
    </w:r>
    <w:r>
      <w:rPr>
        <w:rFonts w:ascii="Arial" w:hAnsi="Arial"/>
        <w:b w:val="0"/>
        <w:i w:val="0"/>
        <w:color w:val="0D5A62"/>
        <w:sz w:val="16"/>
      </w:rPr>
      <w:t xml:space="preserve">   ·   </w:t>
    </w:r>
    <w:r>
      <w:rPr>
        <w:rFonts w:ascii="Arial" w:hAnsi="Arial"/>
        <w:b/>
        <w:i w:val="0"/>
        <w:color w:val="A4161A"/>
        <w:sz w:val="16"/>
      </w:rPr>
      <w:t>BORRADOR</w:t>
    </w:r>
    <w:r>
      <w:rPr>
        <w:rFonts w:ascii="Arial" w:hAnsi="Arial"/>
        <w:b w:val="0"/>
        <w:i w:val="0"/>
        <w:color w:val="0D5A62"/>
        <w:sz w:val="16"/>
      </w:rPr>
      <w:t xml:space="preserve"> — pendiente de aprobación por la docente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(borrador) — Dra. Adriana Mabel Álvarez</dc:title>
  <dc:subject/>
  <dc:creator>Coordinación académica · Curso virtual SEDA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