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  <w:jc w:val="right"/>
      </w:pPr>
      <w:r>
        <w:rPr>
          <w:b w:val="0"/>
          <w:i w:val="0"/>
          <w:color w:val="1A2325"/>
        </w:rPr>
        <w:t>Cuenca, ____ de octubre de 2026</w:t>
      </w:r>
    </w:p>
    <w:p>
      <w:pPr>
        <w:spacing w:before="0" w:after="0"/>
      </w:pPr>
      <w:r>
        <w:rPr>
          <w:b w:val="0"/>
          <w:i w:val="0"/>
          <w:color w:val="1A2325"/>
        </w:rPr>
        <w:t>Doctora</w:t>
      </w:r>
    </w:p>
    <w:p>
      <w:pPr>
        <w:spacing w:before="0" w:after="0"/>
      </w:pPr>
      <w:r>
        <w:rPr>
          <w:b/>
          <w:i w:val="0"/>
          <w:color w:val="1A2325"/>
        </w:rPr>
        <w:t>Nancy Auquilla Díaz</w:t>
      </w:r>
    </w:p>
    <w:p>
      <w:pPr>
        <w:spacing w:before="0" w:after="0"/>
      </w:pPr>
      <w:r>
        <w:rPr>
          <w:b w:val="0"/>
          <w:i w:val="0"/>
          <w:color w:val="1A2325"/>
        </w:rPr>
        <w:t>Decana (e) de la Facultad de Ciencias Médicas</w:t>
      </w:r>
    </w:p>
    <w:p>
      <w:pPr>
        <w:spacing w:before="0" w:after="0"/>
      </w:pPr>
      <w:r>
        <w:rPr>
          <w:b w:val="0"/>
          <w:i w:val="0"/>
          <w:color w:val="1A2325"/>
        </w:rPr>
        <w:t>Universidad de Cuenca</w:t>
      </w:r>
    </w:p>
    <w:p>
      <w:pPr>
        <w:spacing w:before="0" w:after="240"/>
      </w:pPr>
      <w:r>
        <w:rPr>
          <w:b w:val="0"/>
          <w:i w:val="0"/>
          <w:color w:val="1A2325"/>
        </w:rPr>
        <w:t>Presente.</w:t>
      </w:r>
    </w:p>
    <w:p>
      <w:pPr>
        <w:spacing w:before="0" w:after="240"/>
      </w:pPr>
      <w:r>
        <w:rPr>
          <w:b/>
          <w:i w:val="0"/>
          <w:color w:val="1A2325"/>
        </w:rPr>
        <w:t>Asunto:</w:t>
      </w:r>
      <w:r>
        <w:rPr>
          <w:b w:val="0"/>
          <w:i w:val="0"/>
          <w:color w:val="1A2325"/>
        </w:rPr>
        <w:t xml:space="preserve"> Solicitud de aval académico para el «Curso virtual de actualización en obesidad, diabetes, nutrición clínica y salud digital»</w:t>
      </w:r>
    </w:p>
    <w:p>
      <w:pPr>
        <w:spacing w:before="0" w:after="160"/>
      </w:pPr>
      <w:r>
        <w:rPr>
          <w:b w:val="0"/>
          <w:i w:val="0"/>
          <w:color w:val="1A2325"/>
        </w:rPr>
        <w:t>De mi consideración: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Reciba un cordial saludo. En mi calidad de Presidenta de la </w:t>
      </w:r>
      <w:r>
        <w:rPr>
          <w:b/>
          <w:i w:val="0"/>
          <w:color w:val="1A2325"/>
        </w:rPr>
        <w:t>Sociedad de Endocrinología y Diabetes del Austro (SEDA)</w:t>
      </w:r>
      <w:r>
        <w:rPr>
          <w:b w:val="0"/>
          <w:i w:val="0"/>
          <w:color w:val="1A2325"/>
        </w:rPr>
        <w:t xml:space="preserve">, me permito solicitar a usted, y por su intermedio a la Comisión de Avales y al Consejo Directivo de la Facultad, el </w:t>
      </w:r>
      <w:r>
        <w:rPr>
          <w:b/>
          <w:i w:val="0"/>
          <w:color w:val="1A2325"/>
        </w:rPr>
        <w:t>aval académico de la Universidad de Cuenca</w:t>
      </w:r>
      <w:r>
        <w:rPr>
          <w:b w:val="0"/>
          <w:i w:val="0"/>
          <w:color w:val="1A2325"/>
        </w:rPr>
        <w:t xml:space="preserve"> para el </w:t>
      </w:r>
      <w:r>
        <w:rPr>
          <w:b/>
          <w:i w:val="0"/>
          <w:color w:val="1A2325"/>
        </w:rPr>
        <w:t>Curso virtual de actualización en obesidad, diabetes, nutrición clínica y salud digital</w:t>
      </w:r>
      <w:r>
        <w:rPr>
          <w:b w:val="0"/>
          <w:i w:val="0"/>
          <w:color w:val="1A2325"/>
        </w:rPr>
        <w:t xml:space="preserve">, que nuestra Sociedad dictará del </w:t>
      </w:r>
      <w:r>
        <w:rPr>
          <w:b/>
          <w:i w:val="0"/>
          <w:color w:val="1A2325"/>
        </w:rPr>
        <w:t>5 de noviembre al 17 de diciembre de 2026</w:t>
      </w:r>
      <w:r>
        <w:rPr>
          <w:b w:val="0"/>
          <w:i w:val="0"/>
          <w:color w:val="1A2325"/>
        </w:rPr>
        <w:t>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La obesidad y la diabetes tipo 2 son hoy dos de los principales problemas de salud pública de la región, y su abordaje ha cambiado de forma sustancial en los últimos años con la llegada de nuevas terapias farmacológicas, de la nutrición basada en evidencia y de las herramientas de salud digital. El curso busca que los profesionales de la salud que atienden a estas personas incorporen esos avances a su práctica diaria, con un enfoque integral y aplicable a la consulta.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El programa consta de </w:t>
      </w:r>
      <w:r>
        <w:rPr>
          <w:b/>
          <w:i w:val="0"/>
          <w:color w:val="1A2325"/>
        </w:rPr>
        <w:t>siete módulos y veintiocho clases grabadas</w:t>
      </w:r>
      <w:r>
        <w:rPr>
          <w:b w:val="0"/>
          <w:i w:val="0"/>
          <w:color w:val="1A2325"/>
        </w:rPr>
        <w:t xml:space="preserve">, con un valor curricular de </w:t>
      </w:r>
      <w:r>
        <w:rPr>
          <w:b/>
          <w:i w:val="0"/>
          <w:color w:val="1A2325"/>
        </w:rPr>
        <w:t>20 horas</w:t>
      </w:r>
      <w:r>
        <w:rPr>
          <w:b w:val="0"/>
          <w:i w:val="0"/>
          <w:color w:val="1A2325"/>
        </w:rPr>
        <w:t xml:space="preserve">, en modalidad virtual en la plataforma </w:t>
      </w:r>
      <w:r>
        <w:rPr>
          <w:b/>
          <w:i w:val="0"/>
          <w:color w:val="1A2325"/>
        </w:rPr>
        <w:t>saludelearning.com</w:t>
      </w:r>
      <w:r>
        <w:rPr>
          <w:b w:val="0"/>
          <w:i w:val="0"/>
          <w:color w:val="1A2325"/>
        </w:rPr>
        <w:t xml:space="preserve">. Está dirigido a médicos generales y especialistas, nutricionistas y otros profesionales de la salud, con un cupo de </w:t>
      </w:r>
      <w:r>
        <w:rPr>
          <w:b/>
          <w:i w:val="0"/>
          <w:color w:val="1A2325"/>
        </w:rPr>
        <w:t>200 participantes</w:t>
      </w:r>
      <w:r>
        <w:rPr>
          <w:b w:val="0"/>
          <w:i w:val="0"/>
          <w:color w:val="1A2325"/>
        </w:rPr>
        <w:t>, y lo dicta un cuerpo docente de especialistas del Ecuador, México, Costa Rica, Perú, Argentina y Colombia.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Adjunto el expediente con la información que establece el artículo 7 del Reglamento Interno y los puntos de evaluación que nos indicó la Comisión de Avales, junto con las hojas de vida del cuerpo docente.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Para cualquier aclaración, la coordinación académica del curso está a cargo de la </w:t>
      </w:r>
      <w:r>
        <w:rPr>
          <w:b/>
          <w:i w:val="0"/>
          <w:color w:val="1A2325"/>
        </w:rPr>
        <w:t>Dra. Omidres Pérez de Carvelli</w:t>
      </w:r>
      <w:r>
        <w:rPr>
          <w:b w:val="0"/>
          <w:i w:val="0"/>
          <w:color w:val="1A2325"/>
        </w:rPr>
        <w:t xml:space="preserve"> (info@draomidresperez.com), quien atenderá con gusto cualquier requerimiento de la Comisión.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Agradezco de antemano la atención que brinde a la presente.</w:t>
      </w:r>
    </w:p>
    <w:p>
      <w:pPr>
        <w:spacing w:before="120" w:after="920"/>
      </w:pPr>
      <w:r>
        <w:rPr>
          <w:b w:val="0"/>
          <w:i w:val="0"/>
          <w:color w:val="1A2325"/>
        </w:rPr>
        <w:t>Atentamente,</w:t>
      </w:r>
    </w:p>
    <w:p>
      <w:pPr>
        <w:spacing w:before="0" w:after="0"/>
      </w:pPr>
      <w:r>
        <w:rPr>
          <w:b/>
          <w:i w:val="0"/>
          <w:color w:val="1A2325"/>
        </w:rPr>
        <w:t>Dra. Lizbet Yolanda Ruilova González</w:t>
      </w:r>
    </w:p>
    <w:p>
      <w:pPr>
        <w:spacing w:before="0" w:after="0"/>
      </w:pPr>
      <w:r>
        <w:rPr>
          <w:b w:val="0"/>
          <w:i w:val="0"/>
          <w:color w:val="1A2325"/>
        </w:rPr>
        <w:t>Presidenta</w:t>
      </w:r>
    </w:p>
    <w:p>
      <w:pPr>
        <w:spacing w:before="0" w:after="0"/>
      </w:pPr>
      <w:r>
        <w:rPr>
          <w:b w:val="0"/>
          <w:i w:val="0"/>
          <w:color w:val="1A2325"/>
        </w:rPr>
        <w:t>Sociedad de Endocrinología y Diabetes del Austro (SEDA)</w:t>
      </w:r>
    </w:p>
    <w:p>
      <w:r>
        <w:br w:type="page"/>
      </w:r>
    </w:p>
    <w:p>
      <w:pPr>
        <w:spacing w:before="0" w:after="40"/>
      </w:pPr>
      <w:r>
        <w:rPr>
          <w:b/>
          <w:i w:val="0"/>
          <w:color w:val="B8852B"/>
          <w:sz w:val="20"/>
        </w:rPr>
        <w:t>EXPEDIENTE PARA EL AVAL ACADÉMICO</w:t>
      </w:r>
    </w:p>
    <w:p>
      <w:pPr>
        <w:spacing w:before="0" w:after="40"/>
      </w:pPr>
      <w:r>
        <w:rPr>
          <w:b/>
          <w:i w:val="0"/>
          <w:color w:val="0D5A62"/>
          <w:sz w:val="30"/>
        </w:rPr>
        <w:t>Curso virtual de actualización en obesidad, diabetes, nutrición clínica y salud digital</w:t>
      </w:r>
    </w:p>
    <w:p>
      <w:pPr>
        <w:spacing w:before="0" w:after="200"/>
      </w:pPr>
      <w:r>
        <w:rPr>
          <w:b w:val="0"/>
          <w:i w:val="0"/>
          <w:color w:val="5F7073"/>
        </w:rPr>
        <w:t>Sociedad de Endocrinología y Diabetes del Austro (SEDA) · Cuenca, Ecuador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1. Datos generales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350"/>
      </w:tblGrid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Entidad organizadora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Sociedad de Endocrinología y Diabetes del Austro (SEDA)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Fecha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Del jueves 5 de noviembre al jueves 17 de diciembre de 2026 (siete semanas)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Lugar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Curso virtual. La entidad organizadora tiene su sede en Cuenca, Ecuador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Modalidad y plataforma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Virtual asincrónica, en la plataforma saludelearning.com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Población objetivo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Médicos generales y especialistas, nutricionistas y otros profesionales de la salud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Cupos disponibles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200 participantes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Valor curricular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20 horas: 14 horas de clases grabadas (28 clases de 30 minutos) y 6 horas de estudio autónomo con lecturas y material complementario por módulo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Tipo de certificado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De participación, emitido por SEDA con el aval académico de la Universidad de Cuenca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Entidades auspiciantes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Boehringer Ingelheim, Laboratorios Elea y Laboratorio Saval (ver sección 7)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Costo de inscripción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El curso contempla un costo de inscripción, cuyo valor fija la directiva de SEDA. Se comunicará a la Comisión antes de abrir las inscripciones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Coordinación académica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Dra. Omidres Pérez de Carvelli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2. Objetivos</w:t>
      </w:r>
    </w:p>
    <w:p>
      <w:pPr>
        <w:spacing w:before="0" w:after="60"/>
      </w:pPr>
      <w:r>
        <w:rPr>
          <w:b/>
          <w:i w:val="0"/>
          <w:color w:val="1A2325"/>
        </w:rPr>
        <w:t>Objetivo general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Actualizar a los profesionales de la salud en el abordaje integral y basado en evidencia de la obesidad y la diabetes, integrando la evaluación clínica, la nutrición, el tratamiento farmacológico y quirúrgico, la prevención de complicaciones y las herramientas de salud digital.</w:t>
      </w:r>
    </w:p>
    <w:p>
      <w:pPr>
        <w:spacing w:before="0" w:after="60"/>
      </w:pPr>
      <w:r>
        <w:rPr>
          <w:b/>
          <w:i w:val="0"/>
          <w:color w:val="1A2325"/>
        </w:rPr>
        <w:t>Objetivos específicos.</w:t>
      </w:r>
      <w:r>
        <w:rPr>
          <w:b w:val="0"/>
          <w:i w:val="0"/>
          <w:color w:val="1A2325"/>
        </w:rPr>
        <w:t xml:space="preserve"> Al finalizar el curso, el participante estará en capacidad de: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Reconocer la obesidad como enfermedad crónica, comprender su fisiopatología y evaluar de forma integral al paciente, incluida la composición corporal.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Aplicar los principios de la terapia nutricional, los patrones alimentarios con evidencia, el abordaje conductual y la prescripción de actividad física en el manejo de la obesidad.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Indicar y dar seguimiento al tratamiento farmacológico de la obesidad y reconocer las indicaciones de la cirugía bariátrica y metabólica.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Diagnosticar y clasificar la diabetes, establecer metas terapéuticas con las herramientas actuales de monitoreo glucémico e individualizar el tratamiento farmacológico y la insulinoterapia.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Diseñar estrategias de terapia nutricional para las personas con diabetes y obesidad, incluidas las que reciben nuevas terapias farmacológicas.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Identificar y abordar las complicaciones cardiorrenometabólicas asociadas a la obesidad y la diabetes.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Incorporar a la práctica clínica las herramientas de salud digital y telemedicina, con criterios de ética y protección de datos.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3. Contenidos y programación detallada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Cada clase es un video de 30 minutos. Los módulos se publican en la plataforma los jueves, en las fechas indicadas, y permanecen disponibles hasta el cierre del curso.</w:t>
      </w:r>
    </w:p>
    <w:p>
      <w:pPr>
        <w:keepNext/>
        <w:spacing w:before="120" w:after="40"/>
      </w:pPr>
      <w:r>
        <w:rPr>
          <w:b/>
          <w:i w:val="0"/>
          <w:color w:val="0D5A62"/>
        </w:rPr>
        <w:t>Módulo 1 · Fundamentos de obesidad y evaluación clínica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5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Epidemiología y nuevos conceptos de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Situación mundial y regional; impacto sanitario y económico; cambio de paradigma diagnóstico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Fisiopatología moderna de la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Adiposopatía y lipotoxicidad; inflamación crónica de bajo grado; cronobiología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Evaluación integral del paciente con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Clasificación clínica; fenotipos metabólicos; estratificación de riesgo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Augusta Astudillo Calle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Composición corporal y sarcopenia</w:t>
            </w:r>
            <w:r>
              <w:rPr>
                <w:b w:val="0"/>
                <w:i w:val="0"/>
                <w:color w:val="1A2325"/>
                <w:sz w:val="17"/>
              </w:rPr>
              <w:br/>
              <w:t>IMC y sus limitaciones; circunferencia abdominal; bioimpedancia; obesidad sarcopénica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Victoria González Neira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2 · Nutrición en el manejo de la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5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Principios de terapia nutricional</w:t>
            </w:r>
            <w:r>
              <w:rPr>
                <w:b w:val="0"/>
                <w:i w:val="0"/>
                <w:color w:val="1A2325"/>
                <w:sz w:val="17"/>
              </w:rPr>
              <w:br/>
              <w:t>Balance energético; calidad nutricional; individualización del tratamiento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María Isabel Reinoso Pesántez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Patrones alimentarios basados en evidencia</w:t>
            </w:r>
            <w:r>
              <w:rPr>
                <w:b w:val="0"/>
                <w:i w:val="0"/>
                <w:color w:val="1A2325"/>
                <w:sz w:val="17"/>
              </w:rPr>
              <w:br/>
              <w:t>Dieta mediterránea; dieta DASH; dietas bajas en carbohidratos; ayuno intermitente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Johanna Piedra Bravo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conductual</w:t>
            </w:r>
            <w:r>
              <w:rPr>
                <w:b w:val="0"/>
                <w:i w:val="0"/>
                <w:color w:val="1A2325"/>
                <w:sz w:val="17"/>
              </w:rPr>
              <w:br/>
              <w:t>Hambre fisiológica y emocional; conducta alimentaria; adherencia terapéutica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Janneth Bermeo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Actividad física en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Ejercicio aeróbico; entrenamiento de fuerza; prescripción de ejercicio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Julia Castro de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3 · Tratamiento farmacológico y cirugía de la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12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Farmacoterapia para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Indicaciones generales; orlistat; fentermina; fentermina/topiramato; bupropión/naltrexona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Agonistas del receptor de GLP-1</w:t>
            </w:r>
            <w:r>
              <w:rPr>
                <w:b w:val="0"/>
                <w:i w:val="0"/>
                <w:color w:val="1A2325"/>
                <w:sz w:val="17"/>
              </w:rPr>
              <w:br/>
              <w:t>Semaglutida; evidencia clínica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Frank Espinoza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Tirzepatida y nuevas terapias</w:t>
            </w:r>
            <w:r>
              <w:rPr>
                <w:b w:val="0"/>
                <w:i w:val="0"/>
                <w:color w:val="1A2325"/>
                <w:sz w:val="17"/>
              </w:rPr>
              <w:br/>
              <w:t>Mecanismos de acción; evidencia clínica; seguridad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E. Teresa Cuatecontzi Xochitiotzi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Cirugía bariátrica</w:t>
            </w:r>
            <w:r>
              <w:rPr>
                <w:b w:val="0"/>
                <w:i w:val="0"/>
                <w:color w:val="1A2325"/>
                <w:sz w:val="17"/>
              </w:rPr>
              <w:br/>
              <w:t>Indicaciones; técnicas quirúrgicas; seguimiento metabólico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Cristian Oswaldo Castillo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4 · Diabetes mellitus: diagnóstico y manejo actual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19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Fisiopatología y clasificación de la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Defectos fisiopatológicos de la DM2; clasificación actual; diagnóstico temprano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Paz Castillo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Monitoreo glucémico y metas terapéuticas</w:t>
            </w:r>
            <w:r>
              <w:rPr>
                <w:b w:val="0"/>
                <w:i w:val="0"/>
                <w:color w:val="1A2325"/>
                <w:sz w:val="17"/>
              </w:rPr>
              <w:br/>
              <w:t>HbA1c; tiempo en rango; AGP y monitoreo continuo de glucosa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Josefa Elizabeth Palacio Riofrío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Terapia farmacológica moderna</w:t>
            </w:r>
            <w:r>
              <w:rPr>
                <w:b w:val="0"/>
                <w:i w:val="0"/>
                <w:color w:val="1A2325"/>
                <w:sz w:val="17"/>
              </w:rPr>
              <w:br/>
              <w:t>iSGLT2 e iDPP-4; agonistas de GLP-1 y tirzepatida; individualización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Gabriela Jiménez Encalada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Insulinoterapia avanzada</w:t>
            </w:r>
            <w:r>
              <w:rPr>
                <w:b w:val="0"/>
                <w:i w:val="0"/>
                <w:color w:val="1A2325"/>
                <w:sz w:val="17"/>
              </w:rPr>
              <w:br/>
              <w:t>Inicio e intensificación; combinación con agonistas de GLP-1; manejo de hipoglucemia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Juan Fernando Molina Galarza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5 · Terapia nutricional en diabetes y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26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de precisión en diabetes y obesidad: innovación, equidad y desafíos para América Latina y Ecuador</w:t>
            </w:r>
            <w:r>
              <w:rPr>
                <w:b w:val="0"/>
                <w:i w:val="0"/>
                <w:color w:val="1A2325"/>
                <w:sz w:val="17"/>
              </w:rPr>
              <w:br/>
              <w:t>Fenotipos metabólicos; individualización nutricional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Gabriela Estefanía Molina Ochoa, Mgt.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Estrategias nutricionales basadas en evidencia</w:t>
            </w:r>
            <w:r>
              <w:rPr>
                <w:b w:val="0"/>
                <w:i w:val="0"/>
                <w:color w:val="1A2325"/>
                <w:sz w:val="17"/>
              </w:rPr>
              <w:br/>
              <w:t>Dieta mediterránea; restricción de carbohidratos; ayuno intermitente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María Isabel Reinoso Pesántez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durante las terapias para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Agonistas de GLP-1; tirzepatida; preservación de la masa muscular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Gabriela Machado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Composición corporal y sarcopenia en pacientes con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Evaluación clínica; interpretación de la bioimpedancia; estrategias nutricionales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6 · Complicaciones cardiorrenometabólicas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3 de diciembre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Enfermedad renal asociada a obesidad y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Tamizaje y diagnóstico temprano; estratificación de riesgo; estrategias terapéuticas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Andrea Valeria Andrade Izquierdo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Riesgo cardiovascular en obesidad y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Estratificación del RCV; aterosclerosis; dislipidemias; riesgo residual (no-HDL, ApoB, TG)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Síndrome cardiorrenometabólico</w:t>
            </w:r>
            <w:r>
              <w:rPr>
                <w:b w:val="0"/>
                <w:i w:val="0"/>
                <w:color w:val="1A2325"/>
                <w:sz w:val="17"/>
              </w:rPr>
              <w:br/>
              <w:t>Conceptos actuales; insuficiencia cardíaca; beneficios CV y renales de nuevas terapias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MASLD y complicaciones metabólicas</w:t>
            </w:r>
            <w:r>
              <w:rPr>
                <w:b w:val="0"/>
                <w:i w:val="0"/>
                <w:color w:val="1A2325"/>
                <w:sz w:val="17"/>
              </w:rPr>
              <w:br/>
              <w:t>MASLD; enfermedad osteomuscular asociada a la obesidad; estrategias integrales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Mabel Álvarez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7 · Salud digital y telemedicina aplicada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10 de diciembre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Fundamentos de salud digital y telemedicina en enfermedades crónicas</w:t>
            </w:r>
            <w:r>
              <w:rPr>
                <w:b w:val="0"/>
                <w:i w:val="0"/>
                <w:color w:val="1A2325"/>
                <w:sz w:val="17"/>
              </w:rPr>
              <w:br/>
              <w:t>Marco conceptual; marco normativo de telesalud en Ecuador; modelos sincrónico/asincrónico/híbrido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Monitoreo digital y tecnologías en diabetes y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MCG y AGP en entornos digitales; monitoreo remoto (RPM), apps y wearables; salud conectada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Ana María Gómez Medina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Terapéutica digital, inteligencia artificial y educación del paciente</w:t>
            </w:r>
            <w:r>
              <w:rPr>
                <w:b w:val="0"/>
                <w:i w:val="0"/>
                <w:color w:val="1A2325"/>
                <w:sz w:val="17"/>
              </w:rPr>
              <w:br/>
              <w:t>Terapias digitales (DTx); IA en tamizaje y apoyo a la decisión; educación digital y adherencia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Ronald Fabricio Salas Guerrero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Implementación, ética y seguridad de datos</w:t>
            </w:r>
            <w:r>
              <w:rPr>
                <w:b w:val="0"/>
                <w:i w:val="0"/>
                <w:color w:val="1A2325"/>
                <w:sz w:val="17"/>
              </w:rPr>
              <w:br/>
              <w:t>Programas híbridos (teleconsulta y telenutrición); protección de datos; interoperabilidad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Ing. Styp Bill Roy Canto Rondón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4. Cronograma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835"/>
        <w:gridCol w:w="5216"/>
      </w:tblGrid>
      <w:tr>
        <w:tc>
          <w:tcPr>
            <w:tcW w:type="dxa" w:w="113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Semana</w:t>
            </w:r>
          </w:p>
        </w:tc>
        <w:tc>
          <w:tcPr>
            <w:tcW w:type="dxa" w:w="2835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Fecha de publicación</w:t>
            </w:r>
          </w:p>
        </w:tc>
        <w:tc>
          <w:tcPr>
            <w:tcW w:type="dxa" w:w="521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5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Módulos 1 y 2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12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3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19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4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26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5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3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6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6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10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7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7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17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Cierre del curso y emisión de certificados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5. Cuerpo docente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Las hojas de vida se adjuntan como anexo, en el formato propio de cada docente. La participación del cuerpo docente es ad honorem.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608"/>
        <w:gridCol w:w="2835"/>
        <w:gridCol w:w="1247"/>
      </w:tblGrid>
      <w:tr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Docente</w:t>
            </w:r>
          </w:p>
        </w:tc>
        <w:tc>
          <w:tcPr>
            <w:tcW w:type="dxa" w:w="2608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Especialidad</w:t>
            </w:r>
          </w:p>
        </w:tc>
        <w:tc>
          <w:tcPr>
            <w:tcW w:type="dxa" w:w="2835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Institución · ciudad y país</w:t>
            </w:r>
          </w:p>
        </w:tc>
        <w:tc>
          <w:tcPr>
            <w:tcW w:type="dxa" w:w="124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Clases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Medicina Interna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SOLCA Cuenca · Hospital Monte Sinaí · Universidad de Cuenca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C1 / M5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Obesidad y Trastornos de la Conducta Alimentaria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C2 / M3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Augusta Astudillo Calle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· Casa de la Diabetes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Victoria González Neira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Diabetes · Tesorera de ALAD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Clínica Kennedy · Hospital General Naval — Guayaquil,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María Isabel Reinoso Pesántez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Licenciada en Nutrición y Dietética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Bosque · Centro de Diálisis Nefrodial · Centro Platinum · Centro Pediatri.Co · consulta privada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C1 / M5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Johanna Piedra Bravo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Nutriología y Diabetología · Magíster en Diabetes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Río y Hospital Vicente Corral Moscoso ·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Janneth Bermeo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Subespecialista en Endocrinología · Alta especialidad en Obesidad y Enfermedades Tiroideas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Río ·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Julia Castro de González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Física y Rehabilitación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Instituto Ecuatoriano de Seguridad Social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Frank Espinoza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Perú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E. Teresa Cuatecontzi Xochitiotzi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Alta especialidad en Obesidad · Maestría en Ciencias Médicas y Nutrición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 Especializada en el Manejo de la Diabetes — Ciudad de México, México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Cristian Oswaldo Castillo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Cirugía bariátrica y metabólica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Paz Castillo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Alta especialidad en Enfermedades Tiroideas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Metropolitano de Oncología Integral, Hospital Ángeles — Ciudad de México, México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Josefa Elizabeth Palacio Riofrío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Diabetes y Metabolismo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Omni Hospital e Interhospital · Guayaquil,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Gabriela Jiménez Encalada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de Especialidades Médicas de la Universidad de Cuenca · 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Juan Fernando Molina Galarza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Máster en infección por VIH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General Vicente Corral Moscoso · Corporación Médica Monte Sinaí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Gabriela Estefanía Molina Ochoa, Mgt.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Nutrición · Diplomado en Educación en Diabetes · Máster en Antropología · Máster en Salud Pública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Universidad de Cuenca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Gabriela Machado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—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Andrea Valeria Andrade Izquierdo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Nefrología · Trasplante renal · PhD en Ciencias, Universidad de São Paulo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· Universidad de Cuenca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Farmacología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 Los Yoses · San José, Costa Rica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C2 / M6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Mabel Álvarez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Comité de Esteatosis Hepática Metabólica · Coordinadora del Grupo Obesidad-MASH de ALAD · Vocal Región Sur de ALAD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Italiano de Buenos Aires · Buenos Aires, Argentina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y Metabolismo · Diabetología · Telemedicina y salud digital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Universitario del Río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Ana María Gómez Medina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Tecnología en diabetes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Universitario San Ignacio · Pontificia Universidad Javeriana — Bogotá, Colombia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Ronald Fabricio Salas Guerrero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· Epidemiología · Salud digital e interoperabilidad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Ministerio de Salud Pública del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Ing. Styp Bill Roy Canto Rondón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Ingeniería de Telecomunicaciones · TI en salud, telemedicina e interoperabilidad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Nacional de Telemedicina – EsSalud · Lima, Perú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C4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/>
          <w:i w:val="0"/>
          <w:color w:val="1A2325"/>
          <w:sz w:val="18"/>
        </w:rPr>
        <w:t>Hojas de vida en trámite:</w:t>
      </w:r>
      <w:r>
        <w:rPr>
          <w:b w:val="0"/>
          <w:i w:val="0"/>
          <w:color w:val="1A2325"/>
          <w:sz w:val="18"/>
        </w:rPr>
        <w:t xml:space="preserve"> Dr. Frank Espinoza; Dra. Gabriela Machado. Se remitirán a la Comisión en cuanto se reciban.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6. Financiamiento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El curso se financia con el auspicio de la industria farmacéutica y con el costo de inscripción que fije la directiva de la Sociedad. El auspicio ingresa a la Sociedad de Endocrinología y Diabetes del Austro, que con esos recursos contrata la plataforma y su gestión operativa.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7. Auspicio y transparencia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 xml:space="preserve">El curso cuenta con el auspicio de </w:t>
      </w:r>
      <w:r>
        <w:rPr>
          <w:b/>
          <w:i w:val="0"/>
          <w:color w:val="1A2325"/>
        </w:rPr>
        <w:t>Boehringer Ingelheim, Laboratorios Elea y Laboratorio Saval</w:t>
      </w:r>
      <w:r>
        <w:rPr>
          <w:b w:val="0"/>
          <w:i w:val="0"/>
          <w:color w:val="1A2325"/>
        </w:rPr>
        <w:t>. Los auspiciantes no intervienen en la selección de docentes, en la definición de los contenidos ni en la elaboración del material, y no revisan las clases antes de su publicación. Los docentes se comprometen a emplear denominaciones genéricas y a no promover marcas comerciales ni productos específicos.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 xml:space="preserve">El curso se dicta en la plataforma saludelearning.com, operada por </w:t>
      </w:r>
      <w:r>
        <w:rPr>
          <w:b/>
          <w:i w:val="0"/>
          <w:color w:val="1A2325"/>
        </w:rPr>
        <w:t>Omisalud Cía. Ltda.</w:t>
      </w:r>
      <w:r>
        <w:rPr>
          <w:b w:val="0"/>
          <w:i w:val="0"/>
          <w:color w:val="1A2325"/>
        </w:rPr>
        <w:t xml:space="preserve"> (RUC 0190491641001), compañía de la cual la coordinadora académica, Dra. Omidres Pérez de Carvelli, es socia con el 50 % del capital social y ejerce la Presidencia. La Sociedad contrata el uso de la plataforma y su gestión operativa (montaje del curso, soporte a los participantes, matrículas y certificados) mediante factura emitida por Omisalud Cía. Ltda. y cancelada en su cuenta corporativa nacional. Los auspiciantes no realizan pago alguno a la compañía. La coordinadora académica no participó en la decisión de contratación, que corresponde a la Sociedad.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>La participación de todo el cuerpo docente es ad honorem, incluida la de la coordinadora académica, quien no percibe remuneración alguna por la coordinación ni por la docencia. La clase a su cargo, «Fundamentos de salud digital y telemedicina en enfermedades crónicas», no aborda productos farmacéuticos ni dispositivos de ninguno de los auspiciantes.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>Los docentes suscriben una declaración de conflicto de interés, que la Sociedad conserva y pone a disposición de la Comisión.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8. Anexos</w:t>
      </w:r>
    </w:p>
    <w:p>
      <w:pPr>
        <w:pStyle w:val="ListBullet"/>
        <w:spacing w:after="60"/>
      </w:pPr>
      <w:r>
        <w:rPr>
          <w:b/>
          <w:i w:val="0"/>
          <w:color w:val="1A2325"/>
        </w:rPr>
        <w:t>Anexo 1.</w:t>
      </w:r>
      <w:r>
        <w:rPr>
          <w:b w:val="0"/>
          <w:i w:val="0"/>
          <w:color w:val="1A2325"/>
        </w:rPr>
        <w:t xml:space="preserve"> Hojas de vida del cuerpo docente (22 de 24).</w:t>
      </w:r>
    </w:p>
    <w:p>
      <w:pPr>
        <w:pStyle w:val="ListBullet"/>
        <w:spacing w:after="60"/>
      </w:pPr>
      <w:r>
        <w:rPr>
          <w:b/>
          <w:i w:val="0"/>
          <w:color w:val="1A2325"/>
        </w:rPr>
        <w:t>Anexo 2.</w:t>
      </w:r>
      <w:r>
        <w:rPr>
          <w:b w:val="0"/>
          <w:i w:val="0"/>
          <w:color w:val="1A2325"/>
        </w:rPr>
        <w:t xml:space="preserve"> Declaraciones de conflicto de interés recibidas a la fecha.</w:t>
      </w:r>
    </w:p>
    <w:sectPr w:rsidR="00FC693F" w:rsidRPr="0006063C" w:rsidSect="00034616">
      <w:pgSz w:w="12240" w:h="15840"/>
      <w:pgMar w:top="1247" w:right="130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aval académico — Curso virtual SEDA</dc:title>
  <dc:subject/>
  <dc:creator>Sociedad de Endocrinología y Diabetes del Austro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