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right"/>
      </w:pPr>
      <w:r>
        <w:rPr>
          <w:b w:val="0"/>
          <w:i w:val="0"/>
          <w:color w:val="1A2325"/>
        </w:rPr>
        <w:t>Cuenca, ____ de octubre de 2026</w:t>
      </w:r>
    </w:p>
    <w:p>
      <w:pPr>
        <w:spacing w:before="0" w:after="0"/>
      </w:pPr>
      <w:r>
        <w:rPr>
          <w:b w:val="0"/>
          <w:i w:val="0"/>
          <w:color w:val="1A2325"/>
        </w:rPr>
        <w:t>Doctora</w:t>
      </w:r>
    </w:p>
    <w:p>
      <w:pPr>
        <w:spacing w:before="0" w:after="0"/>
      </w:pPr>
      <w:r>
        <w:rPr>
          <w:b/>
          <w:i w:val="0"/>
          <w:color w:val="1A2325"/>
        </w:rPr>
        <w:t>Nancy Auquilla Díaz</w:t>
      </w:r>
    </w:p>
    <w:p>
      <w:pPr>
        <w:spacing w:before="0" w:after="0"/>
      </w:pPr>
      <w:r>
        <w:rPr>
          <w:b w:val="0"/>
          <w:i w:val="0"/>
          <w:color w:val="1A2325"/>
        </w:rPr>
        <w:t>Decana (e) de la Facultad de Ciencias Médicas</w:t>
      </w:r>
    </w:p>
    <w:p>
      <w:pPr>
        <w:spacing w:before="0" w:after="0"/>
      </w:pPr>
      <w:r>
        <w:rPr>
          <w:b w:val="0"/>
          <w:i w:val="0"/>
          <w:color w:val="1A2325"/>
        </w:rPr>
        <w:t>Universidad de Cuenca</w:t>
      </w:r>
    </w:p>
    <w:p>
      <w:pPr>
        <w:spacing w:before="0" w:after="240"/>
      </w:pPr>
      <w:r>
        <w:rPr>
          <w:b w:val="0"/>
          <w:i w:val="0"/>
          <w:color w:val="1A2325"/>
        </w:rPr>
        <w:t>Presente.</w:t>
      </w:r>
    </w:p>
    <w:p>
      <w:pPr>
        <w:spacing w:before="0" w:after="240"/>
      </w:pPr>
      <w:r>
        <w:rPr>
          <w:b/>
          <w:i w:val="0"/>
          <w:color w:val="1A2325"/>
        </w:rPr>
        <w:t>Asunto:</w:t>
      </w:r>
      <w:r>
        <w:rPr>
          <w:b w:val="0"/>
          <w:i w:val="0"/>
          <w:color w:val="1A2325"/>
        </w:rPr>
        <w:t xml:space="preserve"> Solicitud de aval académico para el «Curso virtual de actualización en obesidad, diabetes, nutrición clínica y salud digital»</w:t>
      </w:r>
    </w:p>
    <w:p>
      <w:pPr>
        <w:spacing w:before="0" w:after="160"/>
      </w:pPr>
      <w:r>
        <w:rPr>
          <w:b w:val="0"/>
          <w:i w:val="0"/>
          <w:color w:val="1A2325"/>
        </w:rPr>
        <w:t>De mi consideración:</w:t>
      </w:r>
    </w:p>
    <w:p>
      <w:pPr>
        <w:spacing w:before="0" w:after="160"/>
        <w:jc w:val="both"/>
      </w:pPr>
      <w:r>
        <w:rPr>
          <w:b w:val="0"/>
          <w:i w:val="0"/>
          <w:color w:val="1A2325"/>
        </w:rPr>
        <w:t xml:space="preserve">Reciba un cordial saludo. En mi calidad de Presidenta de la </w:t>
      </w:r>
      <w:r>
        <w:rPr>
          <w:b/>
          <w:i w:val="0"/>
          <w:color w:val="1A2325"/>
        </w:rPr>
        <w:t>Sociedad de Endocrinología y Diabetes del Austro (SEDA)</w:t>
      </w:r>
      <w:r>
        <w:rPr>
          <w:b w:val="0"/>
          <w:i w:val="0"/>
          <w:color w:val="1A2325"/>
        </w:rPr>
        <w:t xml:space="preserve">, me permito solicitar a usted, y por su intermedio a la Comisión de Avales y al Consejo Directivo de la Facultad, el </w:t>
      </w:r>
      <w:r>
        <w:rPr>
          <w:b/>
          <w:i w:val="0"/>
          <w:color w:val="1A2325"/>
        </w:rPr>
        <w:t>aval académico de la Universidad de Cuenca</w:t>
      </w:r>
      <w:r>
        <w:rPr>
          <w:b w:val="0"/>
          <w:i w:val="0"/>
          <w:color w:val="1A2325"/>
        </w:rPr>
        <w:t xml:space="preserve"> para el </w:t>
      </w:r>
      <w:r>
        <w:rPr>
          <w:b/>
          <w:i w:val="0"/>
          <w:color w:val="1A2325"/>
        </w:rPr>
        <w:t>Curso virtual de actualización en obesidad, diabetes, nutrición clínica y salud digital</w:t>
      </w:r>
      <w:r>
        <w:rPr>
          <w:b w:val="0"/>
          <w:i w:val="0"/>
          <w:color w:val="1A2325"/>
        </w:rPr>
        <w:t xml:space="preserve">, que nuestra Sociedad dictará del </w:t>
      </w:r>
      <w:r>
        <w:rPr>
          <w:b/>
          <w:i w:val="0"/>
          <w:color w:val="1A2325"/>
        </w:rPr>
        <w:t>5 de noviembre al 17 de diciembre de 2026</w:t>
      </w:r>
      <w:r>
        <w:rPr>
          <w:b w:val="0"/>
          <w:i w:val="0"/>
          <w:color w:val="1A2325"/>
        </w:rPr>
        <w:t>.</w:t>
      </w:r>
    </w:p>
    <w:p>
      <w:pPr>
        <w:spacing w:before="0" w:after="160"/>
        <w:jc w:val="both"/>
      </w:pPr>
      <w:r>
        <w:rPr>
          <w:b w:val="0"/>
          <w:i w:val="0"/>
          <w:color w:val="1A2325"/>
        </w:rPr>
        <w:t>La obesidad y la diabetes tipo 2 son hoy dos de los principales problemas de salud pública de la región, y su abordaje ha cambiado de forma sustancial en los últimos años con la llegada de nuevas terapias farmacológicas, de la nutrición basada en evidencia y de las herramientas de salud digital. El curso busca que los profesionales de la salud que atienden a estas personas incorporen esos avances a su práctica diaria, con un enfoque integral y aplicable a la consulta.</w:t>
      </w:r>
    </w:p>
    <w:p>
      <w:pPr>
        <w:spacing w:before="0" w:after="160"/>
        <w:jc w:val="both"/>
      </w:pPr>
      <w:r>
        <w:rPr>
          <w:b w:val="0"/>
          <w:i w:val="0"/>
          <w:color w:val="1A2325"/>
        </w:rPr>
        <w:t xml:space="preserve">El programa consta de </w:t>
      </w:r>
      <w:r>
        <w:rPr>
          <w:b/>
          <w:i w:val="0"/>
          <w:color w:val="1A2325"/>
        </w:rPr>
        <w:t>siete módulos y veintiocho clases grabadas</w:t>
      </w:r>
      <w:r>
        <w:rPr>
          <w:b w:val="0"/>
          <w:i w:val="0"/>
          <w:color w:val="1A2325"/>
        </w:rPr>
        <w:t xml:space="preserve">, con un valor curricular de </w:t>
      </w:r>
      <w:r>
        <w:rPr>
          <w:b/>
          <w:i w:val="0"/>
          <w:color w:val="1A2325"/>
        </w:rPr>
        <w:t>20 horas</w:t>
      </w:r>
      <w:r>
        <w:rPr>
          <w:b w:val="0"/>
          <w:i w:val="0"/>
          <w:color w:val="1A2325"/>
        </w:rPr>
        <w:t xml:space="preserve">, en modalidad virtual en la plataforma </w:t>
      </w:r>
      <w:r>
        <w:rPr>
          <w:b/>
          <w:i w:val="0"/>
          <w:color w:val="1A2325"/>
        </w:rPr>
        <w:t>saludelearning.com</w:t>
      </w:r>
      <w:r>
        <w:rPr>
          <w:b w:val="0"/>
          <w:i w:val="0"/>
          <w:color w:val="1A2325"/>
        </w:rPr>
        <w:t xml:space="preserve">. Está dirigido a médicos generales y especialistas, nutricionistas y otros profesionales de la salud, con un cupo de </w:t>
      </w:r>
      <w:r>
        <w:rPr>
          <w:b/>
          <w:i w:val="0"/>
          <w:color w:val="1A2325"/>
        </w:rPr>
        <w:t>200 participantes</w:t>
      </w:r>
      <w:r>
        <w:rPr>
          <w:b w:val="0"/>
          <w:i w:val="0"/>
          <w:color w:val="1A2325"/>
        </w:rPr>
        <w:t>, y lo dicta un cuerpo docente de especialistas del Ecuador, México, Costa Rica, Perú, Argentina, Colombia y España.</w:t>
      </w:r>
    </w:p>
    <w:p>
      <w:pPr>
        <w:spacing w:before="0" w:after="160"/>
        <w:jc w:val="both"/>
      </w:pPr>
      <w:r>
        <w:rPr>
          <w:b w:val="0"/>
          <w:i w:val="0"/>
          <w:color w:val="1A2325"/>
        </w:rPr>
        <w:t>Adjunto el expediente con la información que establece el artículo 7 del Reglamento Interno y los puntos de evaluación que nos indicó la Comisión de Avales, junto con las hojas de vida del cuerpo docente.</w:t>
      </w:r>
    </w:p>
    <w:p>
      <w:pPr>
        <w:spacing w:before="0" w:after="160"/>
        <w:jc w:val="both"/>
      </w:pPr>
      <w:r>
        <w:rPr>
          <w:b w:val="0"/>
          <w:i w:val="0"/>
          <w:color w:val="1A2325"/>
        </w:rPr>
        <w:t xml:space="preserve">Para cualquier aclaración, la coordinación académica del curso está a cargo de la </w:t>
      </w:r>
      <w:r>
        <w:rPr>
          <w:b/>
          <w:i w:val="0"/>
          <w:color w:val="1A2325"/>
        </w:rPr>
        <w:t>Dra. Omidres Pérez de Carvelli</w:t>
      </w:r>
      <w:r>
        <w:rPr>
          <w:b w:val="0"/>
          <w:i w:val="0"/>
          <w:color w:val="1A2325"/>
        </w:rPr>
        <w:t xml:space="preserve"> (info@draomidresperez.com), quien atenderá con gusto cualquier requerimiento de la Comisión.</w:t>
      </w:r>
    </w:p>
    <w:p>
      <w:pPr>
        <w:spacing w:before="0" w:after="160"/>
        <w:jc w:val="both"/>
      </w:pPr>
      <w:r>
        <w:rPr>
          <w:b w:val="0"/>
          <w:i w:val="0"/>
          <w:color w:val="1A2325"/>
        </w:rPr>
        <w:t>Agradezco de antemano la atención que brinde a la presente.</w:t>
      </w:r>
    </w:p>
    <w:p>
      <w:pPr>
        <w:spacing w:before="120" w:after="920"/>
      </w:pPr>
      <w:r>
        <w:rPr>
          <w:b w:val="0"/>
          <w:i w:val="0"/>
          <w:color w:val="1A2325"/>
        </w:rPr>
        <w:t>Atentamente,</w:t>
      </w:r>
    </w:p>
    <w:p>
      <w:pPr>
        <w:spacing w:before="0" w:after="0"/>
      </w:pPr>
      <w:r>
        <w:rPr>
          <w:b/>
          <w:i w:val="0"/>
          <w:color w:val="1A2325"/>
        </w:rPr>
        <w:t>Dra. Lizbet Yolanda Ruilova González</w:t>
      </w:r>
    </w:p>
    <w:p>
      <w:pPr>
        <w:spacing w:before="0" w:after="0"/>
      </w:pPr>
      <w:r>
        <w:rPr>
          <w:b w:val="0"/>
          <w:i w:val="0"/>
          <w:color w:val="1A2325"/>
        </w:rPr>
        <w:t>Presidenta</w:t>
      </w:r>
    </w:p>
    <w:p>
      <w:pPr>
        <w:spacing w:before="0" w:after="0"/>
      </w:pPr>
      <w:r>
        <w:rPr>
          <w:b w:val="0"/>
          <w:i w:val="0"/>
          <w:color w:val="1A2325"/>
        </w:rPr>
        <w:t>Sociedad de Endocrinología y Diabetes del Austro (SEDA)</w:t>
      </w:r>
    </w:p>
    <w:p>
      <w:r>
        <w:br w:type="page"/>
      </w:r>
    </w:p>
    <w:p>
      <w:pPr>
        <w:spacing w:before="0" w:after="40"/>
      </w:pPr>
      <w:r>
        <w:rPr>
          <w:b/>
          <w:i w:val="0"/>
          <w:color w:val="B8852B"/>
          <w:sz w:val="20"/>
        </w:rPr>
        <w:t>EXPEDIENTE PARA EL AVAL ACADÉMICO</w:t>
      </w:r>
    </w:p>
    <w:p>
      <w:pPr>
        <w:spacing w:before="0" w:after="40"/>
      </w:pPr>
      <w:r>
        <w:rPr>
          <w:b/>
          <w:i w:val="0"/>
          <w:color w:val="0D5A62"/>
          <w:sz w:val="30"/>
        </w:rPr>
        <w:t>Curso virtual de actualización en obesidad, diabetes, nutrición clínica y salud digital</w:t>
      </w:r>
    </w:p>
    <w:p>
      <w:pPr>
        <w:spacing w:before="0" w:after="200"/>
      </w:pPr>
      <w:r>
        <w:rPr>
          <w:b w:val="0"/>
          <w:i w:val="0"/>
          <w:color w:val="5F7073"/>
        </w:rPr>
        <w:t>Sociedad de Endocrinología y Diabetes del Austro (SEDA) · Cuenca, Ecuador</w:t>
      </w: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1. Datos generales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</w:tblGrid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Entidad organizadora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Sociedad de Endocrinología y Diabetes del Austro (SEDA)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Fecha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Del jueves 5 de noviembre al jueves 17 de diciembre de 2026 (siete semanas)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Lugar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Curso virtual. La entidad organizadora tiene su sede en Cuenca, Ecuador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Modalidad y plataforma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Virtual asincrónica, en la plataforma saludelearning.com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Población objetivo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Médicos generales y especialistas, nutricionistas y otros profesionales de la salud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Cupos disponibles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200 participantes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Valor curricular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20 horas: 14 horas de clases grabadas (28 clases de 30 minutos) y 6 horas de estudio autónomo con lecturas y material complementario por módulo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Tipo de certificado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De participación, emitido por SEDA con el aval académico de la Universidad de Cuenca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Entidades auspiciantes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Boehringer Ingelheim, Laboratorios Elea y Laboratorio Saval (ver sección 7)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Costo de inscripción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El curso contempla un costo de inscripción, cuyo valor fija la directiva de SEDA. Se comunicará a la Comisión antes de abrir las inscripciones</w:t>
            </w:r>
          </w:p>
        </w:tc>
      </w:tr>
      <w:tr>
        <w:tc>
          <w:tcPr>
            <w:tcW w:type="dxa" w:w="2835"/>
            <w:shd w:val="clear" w:color="auto" w:fill="EDF5F4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9"/>
              </w:rPr>
              <w:t>Coordinación académica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9"/>
              </w:rPr>
              <w:t>Dra. Omidres Pérez de Carvelli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2. Objetivos</w:t>
      </w:r>
    </w:p>
    <w:p>
      <w:pPr>
        <w:spacing w:before="0" w:after="60"/>
      </w:pPr>
      <w:r>
        <w:rPr>
          <w:b/>
          <w:i w:val="0"/>
          <w:color w:val="1A2325"/>
        </w:rPr>
        <w:t>Objetivo general</w:t>
      </w:r>
    </w:p>
    <w:p>
      <w:pPr>
        <w:spacing w:before="0" w:after="120"/>
        <w:jc w:val="both"/>
      </w:pPr>
      <w:r>
        <w:rPr>
          <w:b w:val="0"/>
          <w:i w:val="0"/>
          <w:color w:val="1A2325"/>
        </w:rPr>
        <w:t>Actualizar a los profesionales de la salud en el abordaje integral y basado en evidencia de la obesidad y la diabetes, integrando la evaluación clínica, la nutrición, el tratamiento farmacológico y quirúrgico, la prevención de complicaciones y las herramientas de salud digital.</w:t>
      </w:r>
    </w:p>
    <w:p>
      <w:pPr>
        <w:spacing w:before="0" w:after="60"/>
      </w:pPr>
      <w:r>
        <w:rPr>
          <w:b/>
          <w:i w:val="0"/>
          <w:color w:val="1A2325"/>
        </w:rPr>
        <w:t>Objetivos específicos.</w:t>
      </w:r>
      <w:r>
        <w:rPr>
          <w:b w:val="0"/>
          <w:i w:val="0"/>
          <w:color w:val="1A2325"/>
        </w:rPr>
        <w:t xml:space="preserve"> Al finalizar el curso, el participante estará en capacidad de: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Reconocer la obesidad como enfermedad crónica, comprender su fisiopatología y evaluar de forma integral al paciente, incluida la composición corporal.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Aplicar los principios de la terapia nutricional, los patrones alimentarios con evidencia, el abordaje conductual y la prescripción de actividad física en el manejo de la obesidad.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Indicar y dar seguimiento al tratamiento farmacológico de la obesidad y reconocer las indicaciones de la cirugía bariátrica y metabólica.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Diagnosticar y clasificar la diabetes, establecer metas terapéuticas con las herramientas actuales de monitoreo glucémico e individualizar el tratamiento farmacológico y la insulinoterapia.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Diseñar estrategias de terapia nutricional para las personas con diabetes y obesidad, incluidas las que reciben nuevas terapias farmacológicas.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Identificar y abordar las complicaciones cardiorrenometabólicas asociadas a la obesidad y la diabetes.</w:t>
      </w:r>
    </w:p>
    <w:p>
      <w:pPr>
        <w:pStyle w:val="ListBullet"/>
        <w:spacing w:after="60"/>
      </w:pPr>
      <w:r>
        <w:rPr>
          <w:b w:val="0"/>
          <w:i w:val="0"/>
          <w:color w:val="1A2325"/>
        </w:rPr>
        <w:t>Incorporar a la práctica clínica las herramientas de salud digital y telemedicina, con criterios de ética y protección de datos.</w:t>
      </w: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3. Contenidos y programación detallada</w:t>
      </w:r>
    </w:p>
    <w:p>
      <w:pPr>
        <w:spacing w:before="0" w:after="120"/>
        <w:jc w:val="both"/>
      </w:pPr>
      <w:r>
        <w:rPr>
          <w:b w:val="0"/>
          <w:i w:val="0"/>
          <w:color w:val="1A2325"/>
        </w:rPr>
        <w:t>Cada clase es un video de 30 minutos. Los módulos se publican en la plataforma los jueves, en las fechas indicadas, y permanecen disponibles hasta el cierre del curso.</w:t>
      </w:r>
    </w:p>
    <w:p>
      <w:pPr>
        <w:keepNext/>
        <w:spacing w:before="120" w:after="40"/>
      </w:pPr>
      <w:r>
        <w:rPr>
          <w:b/>
          <w:i w:val="0"/>
          <w:color w:val="0D5A62"/>
        </w:rPr>
        <w:t>Módulo 1 · Fundamentos de obesidad y evaluación clínica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5 de noviembre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Epidemiología y nuevos conceptos de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Situación mundial y regional; impacto sanitario y económico; cambio de paradigma diagnóstico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Lizbet Yolanda Ruilova González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Fisiopatología moderna de la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Adiposopatía y lipotoxicidad; inflamación crónica de bajo grado; cronobiología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Pablo Esteban Vanegas Cedillo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Evaluación integral del paciente con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Clasificación clínica; fenotipos metabólicos; estratificación de riesgo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María Augusta Astudillo Calle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Composición corporal y sarcopenia</w:t>
            </w:r>
            <w:r>
              <w:rPr>
                <w:b w:val="0"/>
                <w:i w:val="0"/>
                <w:color w:val="1A2325"/>
                <w:sz w:val="17"/>
              </w:rPr>
              <w:br/>
              <w:t>IMC y sus limitaciones; circunferencia abdominal; bioimpedancia; obesidad sarcopénica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Adriana Victoria González Neira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0D5A62"/>
        </w:rPr>
        <w:t>Módulo 2 · Nutrición en el manejo de la obesidad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5 de noviembre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Principios de terapia nutricional</w:t>
            </w:r>
            <w:r>
              <w:rPr>
                <w:b w:val="0"/>
                <w:i w:val="0"/>
                <w:color w:val="1A2325"/>
                <w:sz w:val="17"/>
              </w:rPr>
              <w:br/>
              <w:t>Balance energético; calidad nutricional; individualización del tratamiento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Lcda. María Isabel Reinoso Pesántez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Patrones alimentarios basados en evidencia</w:t>
            </w:r>
            <w:r>
              <w:rPr>
                <w:b w:val="0"/>
                <w:i w:val="0"/>
                <w:color w:val="1A2325"/>
                <w:sz w:val="17"/>
              </w:rPr>
              <w:br/>
              <w:t>Dieta mediterránea; dieta DASH; dietas bajas en carbohidratos; ayuno intermitente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Johanna Piedra Bravo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Nutrición conductual</w:t>
            </w:r>
            <w:r>
              <w:rPr>
                <w:b w:val="0"/>
                <w:i w:val="0"/>
                <w:color w:val="1A2325"/>
                <w:sz w:val="17"/>
              </w:rPr>
              <w:br/>
              <w:t>Hambre fisiológica y emocional; conducta alimentaria; adherencia terapéutica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Marcia Janneth Bermeo Cabrera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Actividad física en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Ejercicio aeróbico; entrenamiento de fuerza; prescripción de ejercicio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Julia Castro de González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0D5A62"/>
        </w:rPr>
        <w:t>Módulo 3 · Tratamiento farmacológico y cirugía de la obesidad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12 de noviembre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Farmacoterapia para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Indicaciones generales; orlistat; fentermina; fentermina/topiramato; bupropión/naltrexona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Pablo Esteban Vanegas Cedillo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Agonistas del receptor de GLP-1</w:t>
            </w:r>
            <w:r>
              <w:rPr>
                <w:b w:val="0"/>
                <w:i w:val="0"/>
                <w:color w:val="1A2325"/>
                <w:sz w:val="17"/>
              </w:rPr>
              <w:br/>
              <w:t>Semaglutida; evidencia clínica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Frank Espinoza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Tirzepatida y nuevas terapias</w:t>
            </w:r>
            <w:r>
              <w:rPr>
                <w:b w:val="0"/>
                <w:i w:val="0"/>
                <w:color w:val="1A2325"/>
                <w:sz w:val="17"/>
              </w:rPr>
              <w:br/>
              <w:t>Mecanismos de acción; evidencia clínica; seguridad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E. Teresa Cuatecontzi Xochitiotzi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Cirugía bariátrica</w:t>
            </w:r>
            <w:r>
              <w:rPr>
                <w:b w:val="0"/>
                <w:i w:val="0"/>
                <w:color w:val="1A2325"/>
                <w:sz w:val="17"/>
              </w:rPr>
              <w:br/>
              <w:t>Indicaciones; técnicas quirúrgicas; seguimiento metabólico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Cristian Oswaldo Castillo Cabrera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0D5A62"/>
        </w:rPr>
        <w:t>Módulo 4 · Diabetes mellitus: diagnóstico y manejo actual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19 de noviembre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Fisiopatología y clasificación de la diabetes</w:t>
            </w:r>
            <w:r>
              <w:rPr>
                <w:b w:val="0"/>
                <w:i w:val="0"/>
                <w:color w:val="1A2325"/>
                <w:sz w:val="17"/>
              </w:rPr>
              <w:br/>
              <w:t>Defectos fisiopatológicos de la DM2; clasificación actual; diagnóstico temprano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María Paz Castillo Cabrera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Monitoreo glucémico y metas terapéuticas</w:t>
            </w:r>
            <w:r>
              <w:rPr>
                <w:b w:val="0"/>
                <w:i w:val="0"/>
                <w:color w:val="1A2325"/>
                <w:sz w:val="17"/>
              </w:rPr>
              <w:br/>
              <w:t>HbA1c; tiempo en rango; AGP y monitoreo continuo de glucosa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Josefa Elizabeth Palacio Riofrío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Terapia farmacológica moderna</w:t>
            </w:r>
            <w:r>
              <w:rPr>
                <w:b w:val="0"/>
                <w:i w:val="0"/>
                <w:color w:val="1A2325"/>
                <w:sz w:val="17"/>
              </w:rPr>
              <w:br/>
              <w:t>iSGLT2 e iDPP-4; agonistas de GLP-1 y tirzepatida; individualización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Marcia Gabriela Jiménez Encalada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Insulinoterapia avanzada</w:t>
            </w:r>
            <w:r>
              <w:rPr>
                <w:b w:val="0"/>
                <w:i w:val="0"/>
                <w:color w:val="1A2325"/>
                <w:sz w:val="17"/>
              </w:rPr>
              <w:br/>
              <w:t>Inicio e intensificación; combinación con agonistas de GLP-1; manejo de hipoglucemia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Juan Fernando Molina Galarza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0D5A62"/>
        </w:rPr>
        <w:t>Módulo 5 · Terapia nutricional en diabetes y obesidad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26 de noviembre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Nutrición de precisión en diabetes y obesidad: innovación, equidad y desafíos para América Latina y Ecuador</w:t>
            </w:r>
            <w:r>
              <w:rPr>
                <w:b w:val="0"/>
                <w:i w:val="0"/>
                <w:color w:val="1A2325"/>
                <w:sz w:val="17"/>
              </w:rPr>
              <w:br/>
              <w:t>Fenotipos metabólicos; individualización nutricional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Lcda. Gabriela Estefanía Molina Ochoa, Mgt.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Estrategias nutricionales basadas en evidencia</w:t>
            </w:r>
            <w:r>
              <w:rPr>
                <w:b w:val="0"/>
                <w:i w:val="0"/>
                <w:color w:val="1A2325"/>
                <w:sz w:val="17"/>
              </w:rPr>
              <w:br/>
              <w:t>Dieta mediterránea; restricción de carbohidratos; ayuno intermitente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Ramón de Cangas Morán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Nutrición durante las terapias para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Agonistas de GLP-1; tirzepatida; preservación de la masa muscular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Gabriela Machado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Composición corporal y sarcopenia en pacientes con diabetes</w:t>
            </w:r>
            <w:r>
              <w:rPr>
                <w:b w:val="0"/>
                <w:i w:val="0"/>
                <w:color w:val="1A2325"/>
                <w:sz w:val="17"/>
              </w:rPr>
              <w:br/>
              <w:t>Evaluación clínica; interpretación de la bioimpedancia; estrategias nutricionales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Lizbet Yolanda Ruilova González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0D5A62"/>
        </w:rPr>
        <w:t>Módulo 6 · Complicaciones cardiorrenometabólicas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3 de diciembre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Enfermedad renal asociada a obesidad y diabetes</w:t>
            </w:r>
            <w:r>
              <w:rPr>
                <w:b w:val="0"/>
                <w:i w:val="0"/>
                <w:color w:val="1A2325"/>
                <w:sz w:val="17"/>
              </w:rPr>
              <w:br/>
              <w:t>Tamizaje y diagnóstico temprano; estratificación de riesgo; estrategias terapéuticas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Andrea Valeria Andrade Izquierdo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Riesgo cardiovascular en obesidad y diabetes</w:t>
            </w:r>
            <w:r>
              <w:rPr>
                <w:b w:val="0"/>
                <w:i w:val="0"/>
                <w:color w:val="1A2325"/>
                <w:sz w:val="17"/>
              </w:rPr>
              <w:br/>
              <w:t>Estratificación del RCV; aterosclerosis; dislipidemias; riesgo residual (no-HDL, ApoB, TG)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Chih Hao Chen Ku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Síndrome cardiorrenometabólico</w:t>
            </w:r>
            <w:r>
              <w:rPr>
                <w:b w:val="0"/>
                <w:i w:val="0"/>
                <w:color w:val="1A2325"/>
                <w:sz w:val="17"/>
              </w:rPr>
              <w:br/>
              <w:t>Conceptos actuales; insuficiencia cardíaca; beneficios CV y renales de nuevas terapias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Chih Hao Chen Ku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MASLD y complicaciones metabólicas</w:t>
            </w:r>
            <w:r>
              <w:rPr>
                <w:b w:val="0"/>
                <w:i w:val="0"/>
                <w:color w:val="1A2325"/>
                <w:sz w:val="17"/>
              </w:rPr>
              <w:br/>
              <w:t>MASLD; enfermedad osteomuscular asociada a la obesidad; estrategias integrales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Adriana Mabel Álvarez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0D5A62"/>
        </w:rPr>
        <w:t>Módulo 7 · Salud digital y telemedicina aplicada</w:t>
      </w:r>
    </w:p>
    <w:p>
      <w:pPr>
        <w:keepNext/>
        <w:spacing w:before="0" w:after="60"/>
      </w:pPr>
      <w:r>
        <w:rPr>
          <w:b w:val="0"/>
          <w:i/>
          <w:color w:val="5F7073"/>
          <w:sz w:val="18"/>
        </w:rPr>
        <w:t>Publicación: jueves 10 de diciembre de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876"/>
        <w:gridCol w:w="2494"/>
        <w:gridCol w:w="907"/>
      </w:tblGrid>
      <w:tr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</w:t>
            </w:r>
          </w:p>
        </w:tc>
        <w:tc>
          <w:tcPr>
            <w:tcW w:type="dxa" w:w="487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Tema y contenidos</w:t>
            </w:r>
          </w:p>
        </w:tc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90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Duración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C1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Fundamentos de salud digital y telemedicina en enfermedades crónicas</w:t>
            </w:r>
            <w:r>
              <w:rPr>
                <w:b w:val="0"/>
                <w:i w:val="0"/>
                <w:color w:val="1A2325"/>
                <w:sz w:val="17"/>
              </w:rPr>
              <w:br/>
              <w:t>Marco conceptual; marco normativo de telesalud en Ecuador; modelos sincrónico/asincrónico/híbrido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Omidres de la Consolación Pérez de Carvelli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Monitoreo digital y tecnologías en diabetes y obesidad</w:t>
            </w:r>
            <w:r>
              <w:rPr>
                <w:b w:val="0"/>
                <w:i w:val="0"/>
                <w:color w:val="1A2325"/>
                <w:sz w:val="17"/>
              </w:rPr>
              <w:br/>
              <w:t>MCG y AGP en entornos digitales; monitoreo remoto (RPM), apps y wearables; salud conectada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Ana María Gómez Medina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C3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Terapéutica digital, inteligencia artificial y educación del paciente</w:t>
            </w:r>
            <w:r>
              <w:rPr>
                <w:b w:val="0"/>
                <w:i w:val="0"/>
                <w:color w:val="1A2325"/>
                <w:sz w:val="17"/>
              </w:rPr>
              <w:br/>
              <w:t>Terapias digitales (DTx); IA en tamizaje y apoyo a la decisión; educación digital y adherencia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Ronald Fabricio Salas Guerrero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C4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/>
                <w:i w:val="0"/>
                <w:color w:val="1A2325"/>
                <w:sz w:val="17"/>
              </w:rPr>
              <w:t>Implementación, ética y seguridad de datos</w:t>
            </w:r>
            <w:r>
              <w:rPr>
                <w:b w:val="0"/>
                <w:i w:val="0"/>
                <w:color w:val="1A2325"/>
                <w:sz w:val="17"/>
              </w:rPr>
              <w:br/>
              <w:t>Programas híbridos (teleconsulta y telenutrición); protección de datos; interoperabilidad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Ing. Styp Bill Roy Canto Rondón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30 min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4. Cronograma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5216"/>
      </w:tblGrid>
      <w:tr>
        <w:tc>
          <w:tcPr>
            <w:tcW w:type="dxa" w:w="113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835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 de publicación</w:t>
            </w:r>
          </w:p>
        </w:tc>
        <w:tc>
          <w:tcPr>
            <w:tcW w:type="dxa" w:w="5216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5 de noviembre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Módulos 1 y 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12 de noviembre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Módulo 3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19 de noviembre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Módulo 4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26 de noviembre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Módulo 5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3 de diciembre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Módulo 6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10 de diciembre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Módulo 7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jueves 17 de diciembre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8"/>
              </w:rPr>
              <w:t>Cierre del curso y emisión de certificados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5. Cuerpo docente</w:t>
      </w:r>
    </w:p>
    <w:p>
      <w:pPr>
        <w:spacing w:before="0" w:after="120"/>
        <w:jc w:val="both"/>
      </w:pPr>
      <w:r>
        <w:rPr>
          <w:b w:val="0"/>
          <w:i w:val="0"/>
          <w:color w:val="1A2325"/>
        </w:rPr>
        <w:t>Las hojas de vida se adjuntan como anexo, en el formato propio de cada docente. La participación del cuerpo docente es ad honorem.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608"/>
        <w:gridCol w:w="2835"/>
        <w:gridCol w:w="1247"/>
      </w:tblGrid>
      <w:tr>
        <w:tc>
          <w:tcPr>
            <w:tcW w:type="dxa" w:w="2494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Docente</w:t>
            </w:r>
          </w:p>
        </w:tc>
        <w:tc>
          <w:tcPr>
            <w:tcW w:type="dxa" w:w="2608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Especialidad</w:t>
            </w:r>
          </w:p>
        </w:tc>
        <w:tc>
          <w:tcPr>
            <w:tcW w:type="dxa" w:w="2835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Institución · ciudad y país</w:t>
            </w:r>
          </w:p>
        </w:tc>
        <w:tc>
          <w:tcPr>
            <w:tcW w:type="dxa" w:w="1247"/>
            <w:shd w:val="clear" w:color="auto" w:fill="0D5A6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Clases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Lizbet Yolanda Ruilova González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Endocrinología · Medicina Interna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SOLCA Cuenca · Hospital Monte Sinaí · Universidad de Cuenca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C1 / M5 · C4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Pablo Esteban Vanegas Cedillo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· Obesidad y Trastornos de la Conducta Alimentaria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Santa Inés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C2 / M3 · C1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María Augusta Astudillo Calle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Santa Inés · Casa de la Diabetes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Adriana Victoria González Neira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· Diabetes · Tesorera de ALAD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Clínica Kennedy · Hospital General Naval — Guayaquil,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M1 · C4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Lcda. María Isabel Reinoso Pesántez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Licenciada en Nutrición y Dietética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del Bosque · Centro de Diálisis Nefrodial · Centro Platinum · Centro Pediatri.Co · consulta privada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Johanna Piedra Bravo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Nutriología y Diabetología · Magíster en Diabetes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del Río y Hospital Vicente Corral Moscoso ·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Marcia Janneth Bermeo Cabrera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Subespecialista en Endocrinología · Alta especialidad en Obesidad y Enfermedades Tiroideas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del Río ·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Julia Castro de González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Física y Rehabilitación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Instituto Ecuatoriano de Seguridad Social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M2 · C4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Frank Espinoza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Perú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E. Teresa Cuatecontzi Xochitiotzi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· Alta especialidad en Obesidad · Maestría en Ciencias Médicas y Nutrición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Clínica Especializada en el Manejo de la Diabetes — Ciudad de México, México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Cristian Oswaldo Castillo Cabrera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Cirugía bariátrica y metabólica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Santa Inés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M3 · C4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María Paz Castillo Cabrera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· Alta especialidad en Enfermedades Tiroideas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Centro Metropolitano de Oncología Integral, Hospital Ángeles — Ciudad de México, México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Josefa Elizabeth Palacio Riofrío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Endocrinología · Diabetes y Metabolismo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Omni Hospital e Interhospital · Guayaquil,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Marcia Gabriela Jiménez Encalada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Centro de Especialidades Médicas de la Universidad de Cuenca · Hospital Santa Inés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Juan Fernando Molina Galarza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· Máster en infección por VIH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General Vicente Corral Moscoso · Corporación Médica Monte Sinaí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M4 · C4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Lcda. Gabriela Estefanía Molina Ochoa, Mgt.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Nutrición · Diplomado en Educación en Diabetes · Máster en Antropología · Máster en Salud Pública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Universidad de Cuenca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Ramón de Cangas Morán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Dietista-nutricionista · Biología · Doctor en Biología Funcional y Molecular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Clínicas Nutrigroup · Fundación Alimenta Tu Salud — Oviedo, España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Gabriela Machado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M5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Andrea Valeria Andrade Izquierdo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Nefrología · Trasplante renal · PhD en Ciencias, Universidad de São Paulo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Santa Inés · Universidad de Cuenca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Chih Hao Chen Ku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Endocrinología · Farmacología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Clínica Los Yoses · San José, Costa Rica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C2 / M6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Adriana Mabel Álvarez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Endocrinología · Comité de Esteatosis Hepática Metabólica · Coordinadora del Grupo Obesidad-MASH de ALAD · Vocal Región Sur de ALAD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Italiano de Buenos Aires · Buenos Aires, Argentina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M6 · C4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Omidres de la Consolación Pérez de Carvelli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y Metabolismo · Diabetología · Telemedicina y salud digital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Universitario del Río — Cuenca,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Dra. Ana María Gómez Medina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Interna · Endocrinología · Tecnología en diabetes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Hospital Universitario San Ignacio · Pontificia Universidad Javeriana — Bogotá, Colombia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Dr. Ronald Fabricio Salas Guerrero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Medicina · Epidemiología · Salud digital e interoperabilidad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Ministerio de Salud Pública del Ecuador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Ing. Styp Bill Roy Canto Rondón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Ingeniería de Telecomunicaciones · TI en salud, telemedicina e interoperabilidad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Centro Nacional de Telemedicina – EsSalud · Lima, Perú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color w:val="1A2325"/>
                <w:sz w:val="17"/>
              </w:rPr>
              <w:t>M7 · C4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i w:val="0"/>
          <w:color w:val="1A2325"/>
          <w:sz w:val="18"/>
        </w:rPr>
        <w:t>Hojas de vida en trámite:</w:t>
      </w:r>
      <w:r>
        <w:rPr>
          <w:b w:val="0"/>
          <w:i w:val="0"/>
          <w:color w:val="1A2325"/>
          <w:sz w:val="18"/>
        </w:rPr>
        <w:t xml:space="preserve"> Dr. Frank Espinoza; Dra. Gabriela Machado. Se remitirán a la Comisión en cuanto se reciban.</w:t>
      </w: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6. Financiamiento</w:t>
      </w:r>
    </w:p>
    <w:p>
      <w:pPr>
        <w:spacing w:before="0" w:after="120"/>
        <w:jc w:val="both"/>
      </w:pPr>
      <w:r>
        <w:rPr>
          <w:b w:val="0"/>
          <w:i w:val="0"/>
          <w:color w:val="1A2325"/>
        </w:rPr>
        <w:t>El curso se financia con el auspicio de la industria farmacéutica y con el costo de inscripción que fije la directiva de la Sociedad. El auspicio ingresa a la Sociedad de Endocrinología y Diabetes del Austro, que con esos recursos contrata la plataforma y su gestión operativa.</w:t>
      </w: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7. Auspicio y transparencia</w:t>
      </w:r>
    </w:p>
    <w:p>
      <w:pPr>
        <w:spacing w:before="0" w:after="140"/>
        <w:jc w:val="both"/>
      </w:pPr>
      <w:r>
        <w:rPr>
          <w:b w:val="0"/>
          <w:i w:val="0"/>
          <w:color w:val="1A2325"/>
        </w:rPr>
        <w:t xml:space="preserve">El curso cuenta con el auspicio de </w:t>
      </w:r>
      <w:r>
        <w:rPr>
          <w:b/>
          <w:i w:val="0"/>
          <w:color w:val="1A2325"/>
        </w:rPr>
        <w:t>Boehringer Ingelheim, Laboratorios Elea y Laboratorio Saval</w:t>
      </w:r>
      <w:r>
        <w:rPr>
          <w:b w:val="0"/>
          <w:i w:val="0"/>
          <w:color w:val="1A2325"/>
        </w:rPr>
        <w:t>. Los auspiciantes no intervienen en la selección de docentes, en la definición de los contenidos ni en la elaboración del material, y no revisan las clases antes de su publicación. Los docentes se comprometen a emplear denominaciones genéricas y a no promover marcas comerciales ni productos específicos.</w:t>
      </w:r>
    </w:p>
    <w:p>
      <w:pPr>
        <w:spacing w:before="0" w:after="140"/>
        <w:jc w:val="both"/>
      </w:pPr>
      <w:r>
        <w:rPr>
          <w:b w:val="0"/>
          <w:i w:val="0"/>
          <w:color w:val="1A2325"/>
        </w:rPr>
        <w:t xml:space="preserve">El curso se dicta en la plataforma saludelearning.com, operada por </w:t>
      </w:r>
      <w:r>
        <w:rPr>
          <w:b/>
          <w:i w:val="0"/>
          <w:color w:val="1A2325"/>
        </w:rPr>
        <w:t>Omisalud Cía. Ltda.</w:t>
      </w:r>
      <w:r>
        <w:rPr>
          <w:b w:val="0"/>
          <w:i w:val="0"/>
          <w:color w:val="1A2325"/>
        </w:rPr>
        <w:t xml:space="preserve"> (RUC 0190491641001), compañía de la cual la coordinadora académica, Dra. Omidres Pérez de Carvelli, es socia con el 50 % del capital social y ejerce la Presidencia. La Sociedad contrata el uso de la plataforma y su gestión operativa (montaje del curso, soporte a los participantes, matrículas y certificados) mediante factura emitida por Omisalud Cía. Ltda. y cancelada en su cuenta corporativa nacional. Los auspiciantes no realizan pago alguno a la compañía. La coordinadora académica no participó en la decisión de contratación, que corresponde a la Sociedad.</w:t>
      </w:r>
    </w:p>
    <w:p>
      <w:pPr>
        <w:spacing w:before="0" w:after="140"/>
        <w:jc w:val="both"/>
      </w:pPr>
      <w:r>
        <w:rPr>
          <w:b w:val="0"/>
          <w:i w:val="0"/>
          <w:color w:val="1A2325"/>
        </w:rPr>
        <w:t>La participación de todo el cuerpo docente es ad honorem, incluida la de la coordinadora académica, quien no percibe remuneración alguna por la coordinación ni por la docencia. La clase a su cargo, «Fundamentos de salud digital y telemedicina en enfermedades crónicas», no aborda productos farmacéuticos ni dispositivos de ninguno de los auspiciantes.</w:t>
      </w:r>
    </w:p>
    <w:p>
      <w:pPr>
        <w:spacing w:before="0" w:after="140"/>
        <w:jc w:val="both"/>
      </w:pPr>
      <w:r>
        <w:rPr>
          <w:b w:val="0"/>
          <w:i w:val="0"/>
          <w:color w:val="1A2325"/>
        </w:rPr>
        <w:t>Los docentes suscriben una declaración de conflicto de interés, que la Sociedad conserva y pone a disposición de la Comisión.</w:t>
      </w:r>
    </w:p>
    <w:p>
      <w:pPr>
        <w:keepNext/>
        <w:spacing w:before="240" w:after="120"/>
      </w:pPr>
      <w:r>
        <w:rPr>
          <w:b/>
          <w:i w:val="0"/>
          <w:color w:val="0D5A62"/>
          <w:sz w:val="25"/>
        </w:rPr>
        <w:t>8. Anexos</w:t>
      </w:r>
    </w:p>
    <w:p>
      <w:pPr>
        <w:pStyle w:val="ListBullet"/>
        <w:spacing w:after="60"/>
      </w:pPr>
      <w:r>
        <w:rPr>
          <w:b/>
          <w:i w:val="0"/>
          <w:color w:val="1A2325"/>
        </w:rPr>
        <w:t>Anexo 1.</w:t>
      </w:r>
      <w:r>
        <w:rPr>
          <w:b w:val="0"/>
          <w:i w:val="0"/>
          <w:color w:val="1A2325"/>
        </w:rPr>
        <w:t xml:space="preserve"> Hojas de vida del cuerpo docente (23 de 25).</w:t>
      </w:r>
    </w:p>
    <w:p>
      <w:pPr>
        <w:pStyle w:val="ListBullet"/>
        <w:spacing w:after="60"/>
      </w:pPr>
      <w:r>
        <w:rPr>
          <w:b/>
          <w:i w:val="0"/>
          <w:color w:val="1A2325"/>
        </w:rPr>
        <w:t>Anexo 2.</w:t>
      </w:r>
      <w:r>
        <w:rPr>
          <w:b w:val="0"/>
          <w:i w:val="0"/>
          <w:color w:val="1A2325"/>
        </w:rPr>
        <w:t xml:space="preserve"> Declaraciones de conflicto de interés recibidas a la fecha.</w:t>
      </w:r>
    </w:p>
    <w:sectPr w:rsidR="00FC693F" w:rsidRPr="0006063C" w:rsidSect="00034616"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aval académico — Curso virtual SEDA</dc:title>
  <dc:subject/>
  <dc:creator>Sociedad de Endocrinología y Diabetes del Austro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