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0479F">
      <w:p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8.12讨论题</w:t>
      </w:r>
    </w:p>
    <w:p w14:paraId="1C462F86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2"/>
          <w:szCs w:val="22"/>
        </w:rPr>
        <w:t>2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.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项目质量管理包含 3 个核心过程：</w:t>
      </w:r>
    </w:p>
    <w:p w14:paraId="7944404E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规划质量管理：确定项目的质量标准、目标，以及实现这些目标的流程与资源（比如明确软件项目的 Bug 率标准、测试流程）。</w:t>
      </w:r>
    </w:p>
    <w:p w14:paraId="0AF387D4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管理质量（质量保证）：通过审计质量要求、评估项目绩效，确保过程符合质量标准（比如定期检查开发流程是否遵循规范）。</w:t>
      </w:r>
    </w:p>
    <w:p w14:paraId="262FF726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控制质量：监督项目成果，判断是否符合质量标准，识别并纠正缺陷（比如对软件版本进行测试，修复不符合要求的功能）。</w:t>
      </w:r>
    </w:p>
    <w:p w14:paraId="49F044FD">
      <w:pPr>
        <w:rPr>
          <w:rFonts w:hint="eastAsia" w:ascii="等线" w:hAnsi="等线" w:eastAsia="等线" w:cs="等线"/>
          <w:sz w:val="21"/>
          <w:szCs w:val="21"/>
        </w:rPr>
      </w:pPr>
    </w:p>
    <w:p w14:paraId="3167866C">
      <w:pPr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3.</w:t>
      </w:r>
      <w:r>
        <w:rPr>
          <w:rFonts w:hint="eastAsia" w:ascii="等线" w:hAnsi="等线" w:eastAsia="等线" w:cs="等线"/>
          <w:b/>
          <w:bCs/>
          <w:sz w:val="22"/>
          <w:szCs w:val="22"/>
        </w:rPr>
        <w:t>质量管理越来越重要的原因</w:t>
      </w:r>
      <w:r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  <w:t>:</w:t>
      </w:r>
    </w:p>
    <w:p w14:paraId="68BC7AAC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市场竞争加剧</w:t>
      </w:r>
      <w:r>
        <w:rPr>
          <w:rFonts w:hint="eastAsia" w:ascii="等线" w:hAnsi="等线" w:eastAsia="等线" w:cs="等线"/>
          <w:sz w:val="21"/>
          <w:szCs w:val="21"/>
        </w:rPr>
        <w:t>：高质量是客户选择产品 / 服务的核心因素之一。</w:t>
      </w:r>
    </w:p>
    <w:p w14:paraId="00812A4D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成本控制需求</w:t>
      </w:r>
      <w:r>
        <w:rPr>
          <w:rFonts w:hint="eastAsia" w:ascii="等线" w:hAnsi="等线" w:eastAsia="等线" w:cs="等线"/>
          <w:sz w:val="21"/>
          <w:szCs w:val="21"/>
        </w:rPr>
        <w:t>：低质量会导致返工、售后等额外成本（“质量成本” 中的失败成本）。</w:t>
      </w:r>
    </w:p>
    <w:p w14:paraId="668A26CD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合规与风险：部分行业（如医疗、金融）对质量有强制合规要求，低质量可能引发法律风险。</w:t>
      </w:r>
    </w:p>
    <w:p w14:paraId="6A220D3A">
      <w:pPr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2"/>
          <w:szCs w:val="22"/>
        </w:rPr>
        <w:t>精益思想在质量保证中的意义</w:t>
      </w:r>
      <w:r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  <w:t>:</w:t>
      </w:r>
    </w:p>
    <w:p w14:paraId="6E753568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精益思想核心是 “消除浪费、持续改进”，在质量保证中意味着：</w:t>
      </w:r>
    </w:p>
    <w:p w14:paraId="078074F2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提前预防缺陷（而非事后修复），减少返工浪费。</w:t>
      </w:r>
    </w:p>
    <w:p w14:paraId="372E2755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以客户需求为核心，避免做 “超出客户质量要求” 的冗余工作。</w:t>
      </w:r>
    </w:p>
    <w:p w14:paraId="0FADD1B6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持续优化流程，让质量保证活动更高效（比如简化冗余的检查步骤）。</w:t>
      </w:r>
    </w:p>
    <w:p w14:paraId="0C7A4333">
      <w:pPr>
        <w:rPr>
          <w:rFonts w:hint="eastAsia" w:ascii="等线" w:hAnsi="等线" w:eastAsia="等线" w:cs="等线"/>
          <w:sz w:val="22"/>
          <w:szCs w:val="22"/>
        </w:rPr>
      </w:pPr>
    </w:p>
    <w:p w14:paraId="4F4AB85F">
      <w:pPr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5.</w:t>
      </w:r>
      <w:r>
        <w:rPr>
          <w:rFonts w:hint="eastAsia" w:ascii="等线" w:hAnsi="等线" w:eastAsia="等线" w:cs="等线"/>
          <w:b/>
          <w:bCs/>
          <w:sz w:val="22"/>
          <w:szCs w:val="22"/>
        </w:rPr>
        <w:t>标杆的定义及作用</w:t>
      </w:r>
      <w:r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  <w:t>:</w:t>
      </w:r>
    </w:p>
    <w:p w14:paraId="22D455EF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标杆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是</w:t>
      </w:r>
      <w:r>
        <w:rPr>
          <w:rFonts w:hint="eastAsia" w:ascii="等线" w:hAnsi="等线" w:eastAsia="等线" w:cs="等线"/>
          <w:sz w:val="21"/>
          <w:szCs w:val="21"/>
        </w:rPr>
        <w:t>将自身项目 / 流程与同行业（或跨行业）的优秀实践、标准进行对比，识别差距并改进的方法。对质量保证的帮助：通过对标优秀案例，明确质量提升的方向，借鉴成熟的质量流程 / 标准，快速提升自身项目的质量水平。</w:t>
      </w:r>
    </w:p>
    <w:p w14:paraId="4DE72DAC">
      <w:pPr>
        <w:rPr>
          <w:rFonts w:hint="eastAsia" w:ascii="等线" w:hAnsi="等线" w:eastAsia="等线" w:cs="等线"/>
          <w:b/>
          <w:bCs/>
          <w:sz w:val="22"/>
          <w:szCs w:val="22"/>
          <w:lang w:eastAsia="zh-CN"/>
        </w:rPr>
      </w:pPr>
      <w:r>
        <w:rPr>
          <w:rFonts w:hint="eastAsia" w:ascii="等线" w:hAnsi="等线" w:eastAsia="等线" w:cs="等线"/>
          <w:b/>
          <w:bCs/>
          <w:sz w:val="22"/>
          <w:szCs w:val="22"/>
        </w:rPr>
        <w:t>高校的典型标杆案例</w:t>
      </w:r>
      <w:r>
        <w:rPr>
          <w:rFonts w:hint="eastAsia" w:ascii="等线" w:hAnsi="等线" w:eastAsia="等线" w:cs="等线"/>
          <w:b/>
          <w:bCs/>
          <w:sz w:val="22"/>
          <w:szCs w:val="22"/>
          <w:lang w:eastAsia="zh-CN"/>
        </w:rPr>
        <w:t>：</w:t>
      </w:r>
    </w:p>
    <w:p w14:paraId="436D83FD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以 “高校科研项目管理质量” 为例：某地方高校对标 “清华大学科研项目管理体系”：</w:t>
      </w:r>
    </w:p>
    <w:p w14:paraId="0DCA9529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对比发现自身在 “项目进度跟踪机制”“科研经费使用透明度” 上存在差距；</w:t>
      </w:r>
    </w:p>
    <w:p w14:paraId="13226BD2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借鉴清华的 “科研项目周报 + 月度评审” 流程，以及 “经费分阶段审批 + 公开公示” 制度；</w:t>
      </w:r>
    </w:p>
    <w:p w14:paraId="2BDD3DE5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最终提升了本校科研项目的按时完成率与经费使用合规性，实现了科研项目管理质量的优化。</w:t>
      </w:r>
    </w:p>
    <w:p w14:paraId="04A7AB53">
      <w:pPr>
        <w:rPr>
          <w:rFonts w:hint="eastAsia" w:ascii="等线" w:hAnsi="等线" w:eastAsia="等线" w:cs="等线"/>
          <w:sz w:val="21"/>
          <w:szCs w:val="21"/>
        </w:rPr>
      </w:pPr>
    </w:p>
    <w:p w14:paraId="12B63549">
      <w:pPr>
        <w:rPr>
          <w:rFonts w:hint="eastAsia" w:ascii="等线" w:hAnsi="等线" w:eastAsia="等线" w:cs="等线"/>
          <w:sz w:val="22"/>
          <w:szCs w:val="22"/>
        </w:rPr>
      </w:pPr>
    </w:p>
    <w:p w14:paraId="1CF3BADC">
      <w:p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8.13快速测验：</w:t>
      </w:r>
    </w:p>
    <w:p w14:paraId="3FB54A5D">
      <w:pPr>
        <w:numPr>
          <w:ilvl w:val="0"/>
          <w:numId w:val="1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a  </w:t>
      </w:r>
      <w:r>
        <w:rPr>
          <w:rFonts w:hint="eastAsia" w:ascii="等线" w:hAnsi="等线" w:eastAsia="等线" w:cs="等线"/>
          <w:sz w:val="24"/>
          <w:szCs w:val="24"/>
        </w:rPr>
        <w:t>2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.c  </w:t>
      </w:r>
      <w:r>
        <w:rPr>
          <w:rFonts w:hint="eastAsia" w:ascii="等线" w:hAnsi="等线" w:eastAsia="等线" w:cs="等线"/>
          <w:sz w:val="24"/>
          <w:szCs w:val="24"/>
        </w:rPr>
        <w:t>3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.d  </w:t>
      </w:r>
      <w:r>
        <w:rPr>
          <w:rFonts w:hint="eastAsia" w:ascii="等线" w:hAnsi="等线" w:eastAsia="等线" w:cs="等线"/>
          <w:sz w:val="24"/>
          <w:szCs w:val="24"/>
        </w:rPr>
        <w:t>5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.b  </w:t>
      </w:r>
      <w:r>
        <w:rPr>
          <w:rFonts w:hint="eastAsia" w:ascii="等线" w:hAnsi="等线" w:eastAsia="等线" w:cs="等线"/>
          <w:sz w:val="24"/>
          <w:szCs w:val="24"/>
        </w:rPr>
        <w:t>6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.c  </w:t>
      </w:r>
      <w:r>
        <w:rPr>
          <w:rFonts w:hint="eastAsia" w:ascii="等线" w:hAnsi="等线" w:eastAsia="等线" w:cs="等线"/>
          <w:sz w:val="24"/>
          <w:szCs w:val="24"/>
        </w:rPr>
        <w:t>7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.b  </w:t>
      </w:r>
      <w:r>
        <w:rPr>
          <w:rFonts w:hint="eastAsia" w:ascii="等线" w:hAnsi="等线" w:eastAsia="等线" w:cs="等线"/>
          <w:sz w:val="24"/>
          <w:szCs w:val="24"/>
        </w:rPr>
        <w:t>8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.a  </w:t>
      </w:r>
      <w:r>
        <w:rPr>
          <w:rFonts w:hint="eastAsia" w:ascii="等线" w:hAnsi="等线" w:eastAsia="等线" w:cs="等线"/>
          <w:sz w:val="24"/>
          <w:szCs w:val="24"/>
        </w:rPr>
        <w:t>9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.b  </w:t>
      </w:r>
      <w:r>
        <w:rPr>
          <w:rFonts w:hint="eastAsia" w:ascii="等线" w:hAnsi="等线" w:eastAsia="等线" w:cs="等线"/>
          <w:sz w:val="24"/>
          <w:szCs w:val="24"/>
        </w:rPr>
        <w:t>10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.c</w:t>
      </w:r>
    </w:p>
    <w:p w14:paraId="27483B65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53A688A0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8.15练习题：</w:t>
      </w:r>
    </w:p>
    <w:p w14:paraId="3CF04C76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2.</w:t>
      </w:r>
    </w:p>
    <w:p w14:paraId="60191E7E">
      <w:pPr>
        <w:widowControl w:val="0"/>
        <w:numPr>
          <w:numId w:val="0"/>
        </w:numPr>
        <w:jc w:val="both"/>
        <w:rPr>
          <w:rFonts w:hint="default" w:ascii="等线" w:hAnsi="等线" w:eastAsia="等线" w:cs="等线"/>
          <w:sz w:val="21"/>
          <w:szCs w:val="21"/>
          <w:lang w:val="en-US" w:eastAsia="zh-CN"/>
        </w:rPr>
      </w:pPr>
      <w:bookmarkStart w:id="0" w:name="_GoBack"/>
      <w:r>
        <w:drawing>
          <wp:inline distT="0" distB="0" distL="114300" distR="114300">
            <wp:extent cx="5106035" cy="3190875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87BC119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18DC1D4B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6.</w:t>
      </w:r>
    </w:p>
    <w:p w14:paraId="634E3EBE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  <w:t>IT 项目中精益思想的应用方式：</w:t>
      </w:r>
    </w:p>
    <w:p w14:paraId="55228108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精益思想的核心是 “消除浪费、聚焦客户价值”，在 IT 项目中的应用包括：</w:t>
      </w:r>
    </w:p>
    <w:p w14:paraId="12495AB2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识别并消除浪费</w:t>
      </w:r>
    </w:p>
    <w:p w14:paraId="0E64486B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避免 “过度开发”：仅实现客户明确需要的功能，不额外开发冗余模块；</w:t>
      </w:r>
    </w:p>
    <w:p w14:paraId="03F23094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减少 “等待浪费”：优化团队协作流程（如前后端并行开发），避免任务阻塞；</w:t>
      </w:r>
    </w:p>
    <w:p w14:paraId="5A6EAF6A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降低 “返工浪费”：通过持续测试、需求前置确认，减少后期修改成本。</w:t>
      </w:r>
    </w:p>
    <w:p w14:paraId="4C998136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小批量迭代交付</w:t>
      </w:r>
    </w:p>
    <w:p w14:paraId="343D1FFF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采用短周期迭代（如敏捷 Sprint），频繁向客户交付可用版本，快速获取反馈，避免方向偏差带来的资源浪费。</w:t>
      </w:r>
    </w:p>
    <w:p w14:paraId="5282B686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以客户价值为核心通过用户调研、优先级排序（如 MoSCoW 方法），确保资源优先投入高价值功能的开发。</w:t>
      </w:r>
    </w:p>
    <w:p w14:paraId="7F4FC5D0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2"/>
          <w:szCs w:val="22"/>
          <w:lang w:val="en-US" w:eastAsia="zh-CN"/>
        </w:rPr>
        <w:t>二、看板在最大化客户价值与减少浪费中的作用</w:t>
      </w:r>
    </w:p>
    <w:p w14:paraId="021320C0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看板是可视化的工作流管理工具，其应用方式包括：</w:t>
      </w:r>
    </w:p>
    <w:p w14:paraId="37EC3F3D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可视化工作流</w:t>
      </w:r>
    </w:p>
    <w:p w14:paraId="7EB15341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通过看板（如电子看板工具 Trello）展示任务从 “待办” 到 “完成” 的全流程，明确各环节阻塞点，减少任务等待时间，提升交付效率。</w:t>
      </w:r>
    </w:p>
    <w:p w14:paraId="69492030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限制在制品（WIP）</w:t>
      </w:r>
    </w:p>
    <w:p w14:paraId="2A8D4D05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设定各环节的最大任务数量（如开发环节同时进行的任务不超过 3 个），避免任务堆积，减少 “多任务切换” 带来的效率浪费。</w:t>
      </w:r>
    </w:p>
    <w:p w14:paraId="6637CA78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快速响应客户需求</w:t>
      </w:r>
    </w:p>
    <w:p w14:paraId="7E6A615E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看板的动态调整特性可快速插入高优先级的客户需求，确保资源向高价值任务倾斜，同时通过可视化进度让客户清晰了解价值交付节奏。</w:t>
      </w:r>
    </w:p>
    <w:p w14:paraId="6C4D7410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2D88E"/>
    <w:multiLevelType w:val="singleLevel"/>
    <w:tmpl w:val="AAC2D8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D7923"/>
    <w:rsid w:val="68631C14"/>
    <w:rsid w:val="7058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2025-11-13T10:24:32Z</dcterms:created>
  <dc:creator>23896</dc:creator>
  <cp:lastModifiedBy>Joker</cp:lastModifiedBy>
  <dcterms:modified xsi:type="dcterms:W3CDTF">2025-11-13T11:54:56Z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eyJoZGlkIjoiMDFhZGNlMGQ2NDgxMjE2YzQxODk3OGQ3YzRjOTcyYmQiLCJ1c2VySWQiOiI0MTY4ODY4MzUifQ==</vt:lpwstr>
  </property>
  <property fmtid="{D5CDD505-2E9C-101B-9397-08002B2CF9AE}" pid="4" name="ICV">
    <vt:lpwstr>B33DDA7878384CD0AFB6E776EE5EB007_12</vt:lpwstr>
  </property>
</Properties>
</file>