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4"/>
          <w:szCs w:val="44"/>
        </w:rPr>
        <w:t xml:space="preserve">SPIRAL SYSTEM</w:t>
      </w:r>
    </w:p>
    <w:p>
      <w:pPr>
        <w:spacing w:after="240"/>
      </w:pPr>
      <w:r>
        <w:rPr>
          <w:b/>
          <w:bCs/>
          <w:sz w:val="32"/>
          <w:szCs w:val="32"/>
        </w:rPr>
        <w:t xml:space="preserve">Passive Builder — Technical Design Savepoint v0.2</w:t>
      </w:r>
    </w:p>
    <w:tbl>
      <w:tblPr>
        <w:tblW w:type="dxa" w:w="9935"/>
        <w:tblBorders>
          <w:top w:val="single" w:color="auto" w:sz="4"/>
          <w:left w:val="single" w:color="auto" w:sz="4"/>
          <w:bottom w:val="single" w:color="auto" w:sz="4"/>
          <w:right w:val="single" w:color="auto" w:sz="4"/>
          <w:insideH w:val="single" w:color="auto" w:sz="4"/>
          <w:insideV w:val="single" w:color="auto" w:sz="4"/>
        </w:tblBorders>
      </w:tblPr>
      <w:tblGrid>
        <w:gridCol w:w="2304"/>
        <w:gridCol w:w="7631"/>
      </w:tblGrid>
      <w:tr>
        <w:trPr>
          <w:tblHeader/>
        </w:trPr>
        <w:tc>
          <w:tcPr>
            <w:tcW w:type="dxa" w:w="2304"/>
            <w:shd w:fill="E7E6E6" w:color="auto" w:val="clear"/>
            <w:tcMar>
              <w:top w:type="dxa" w:w="80"/>
              <w:left w:type="dxa" w:w="100"/>
              <w:bottom w:type="dxa" w:w="80"/>
              <w:right w:type="dxa" w:w="100"/>
            </w:tcMar>
          </w:tcPr>
          <w:p>
            <w:r>
              <w:rPr>
                <w:b/>
                <w:bCs/>
                <w:sz w:val="20"/>
                <w:szCs w:val="20"/>
              </w:rPr>
              <w:t xml:space="preserve">Field</w:t>
            </w:r>
          </w:p>
        </w:tc>
        <w:tc>
          <w:tcPr>
            <w:tcW w:type="dxa" w:w="7631"/>
            <w:shd w:fill="E7E6E6" w:color="auto" w:val="clear"/>
            <w:tcMar>
              <w:top w:type="dxa" w:w="80"/>
              <w:left w:type="dxa" w:w="100"/>
              <w:bottom w:type="dxa" w:w="80"/>
              <w:right w:type="dxa" w:w="100"/>
            </w:tcMar>
          </w:tcPr>
          <w:p>
            <w:r>
              <w:rPr>
                <w:b/>
                <w:bCs/>
                <w:sz w:val="20"/>
                <w:szCs w:val="20"/>
              </w:rPr>
              <w:t xml:space="preserve">Value</w:t>
            </w:r>
          </w:p>
        </w:tc>
      </w:tr>
      <w:tr>
        <w:tc>
          <w:tcPr>
            <w:tcW w:type="dxa" w:w="2304"/>
            <w:tcMar>
              <w:top w:type="dxa" w:w="80"/>
              <w:left w:type="dxa" w:w="100"/>
              <w:bottom w:type="dxa" w:w="80"/>
              <w:right w:type="dxa" w:w="100"/>
            </w:tcMar>
          </w:tcPr>
          <w:p>
            <w:r>
              <w:rPr>
                <w:b w:val="false"/>
                <w:bCs w:val="false"/>
                <w:sz w:val="20"/>
                <w:szCs w:val="20"/>
              </w:rPr>
              <w:t xml:space="preserve">Version</w:t>
            </w:r>
          </w:p>
        </w:tc>
        <w:tc>
          <w:tcPr>
            <w:tcW w:type="dxa" w:w="7631"/>
            <w:tcMar>
              <w:top w:type="dxa" w:w="80"/>
              <w:left w:type="dxa" w:w="100"/>
              <w:bottom w:type="dxa" w:w="80"/>
              <w:right w:type="dxa" w:w="100"/>
            </w:tcMar>
          </w:tcPr>
          <w:p>
            <w:r>
              <w:rPr>
                <w:b w:val="false"/>
                <w:bCs w:val="false"/>
                <w:sz w:val="20"/>
                <w:szCs w:val="20"/>
              </w:rPr>
              <w:t xml:space="preserve">0.2 — supersedes v0.1. Folds in the Feat &amp; Perk Authoring GDD v2 (Root triad, Fusion operators, parent disposition, Boundary field), the real success/dice support table (SpiralDemo), the Class Insight/star-rank track, and the Trait-as-cap-raising-Source mechanic.</w:t>
            </w:r>
          </w:p>
        </w:tc>
      </w:tr>
      <w:tr>
        <w:tc>
          <w:tcPr>
            <w:tcW w:type="dxa" w:w="2304"/>
            <w:tcMar>
              <w:top w:type="dxa" w:w="80"/>
              <w:left w:type="dxa" w:w="100"/>
              <w:bottom w:type="dxa" w:w="80"/>
              <w:right w:type="dxa" w:w="100"/>
            </w:tcMar>
          </w:tcPr>
          <w:p>
            <w:r>
              <w:rPr>
                <w:b w:val="false"/>
                <w:bCs w:val="false"/>
                <w:sz w:val="20"/>
                <w:szCs w:val="20"/>
              </w:rPr>
              <w:t xml:space="preserve">Audience</w:t>
            </w:r>
          </w:p>
        </w:tc>
        <w:tc>
          <w:tcPr>
            <w:tcW w:type="dxa" w:w="7631"/>
            <w:tcMar>
              <w:top w:type="dxa" w:w="80"/>
              <w:left w:type="dxa" w:w="100"/>
              <w:bottom w:type="dxa" w:w="80"/>
              <w:right w:type="dxa" w:w="100"/>
            </w:tcMar>
          </w:tcPr>
          <w:p>
            <w:r>
              <w:rPr>
                <w:b w:val="false"/>
                <w:bCs w:val="false"/>
                <w:sz w:val="20"/>
                <w:szCs w:val="20"/>
              </w:rPr>
              <w:t xml:space="preserve">Solo designer/author (project owner); future collaborators</w:t>
            </w:r>
          </w:p>
        </w:tc>
      </w:tr>
      <w:tr>
        <w:tc>
          <w:tcPr>
            <w:tcW w:type="dxa" w:w="2304"/>
            <w:tcMar>
              <w:top w:type="dxa" w:w="80"/>
              <w:left w:type="dxa" w:w="100"/>
              <w:bottom w:type="dxa" w:w="80"/>
              <w:right w:type="dxa" w:w="100"/>
            </w:tcMar>
          </w:tcPr>
          <w:p>
            <w:r>
              <w:rPr>
                <w:b w:val="false"/>
                <w:bCs w:val="false"/>
                <w:sz w:val="20"/>
                <w:szCs w:val="20"/>
              </w:rPr>
              <w:t xml:space="preserve">Purpose</w:t>
            </w:r>
          </w:p>
        </w:tc>
        <w:tc>
          <w:tcPr>
            <w:tcW w:type="dxa" w:w="7631"/>
            <w:tcMar>
              <w:top w:type="dxa" w:w="80"/>
              <w:left w:type="dxa" w:w="100"/>
              <w:bottom w:type="dxa" w:w="80"/>
              <w:right w:type="dxa" w:w="100"/>
            </w:tcMar>
          </w:tcPr>
          <w:p>
            <w:r>
              <w:rPr>
                <w:b w:val="false"/>
                <w:bCs w:val="false"/>
                <w:sz w:val="20"/>
                <w:szCs w:val="20"/>
              </w:rPr>
              <w:t xml:space="preserve">Freeze the decisions reached so far into one reference document before implementation begins</w:t>
            </w:r>
          </w:p>
        </w:tc>
      </w:tr>
      <w:tr>
        <w:tc>
          <w:tcPr>
            <w:tcW w:type="dxa" w:w="2304"/>
            <w:tcMar>
              <w:top w:type="dxa" w:w="80"/>
              <w:left w:type="dxa" w:w="100"/>
              <w:bottom w:type="dxa" w:w="80"/>
              <w:right w:type="dxa" w:w="100"/>
            </w:tcMar>
          </w:tcPr>
          <w:p>
            <w:r>
              <w:rPr>
                <w:b w:val="false"/>
                <w:bCs w:val="false"/>
                <w:sz w:val="20"/>
                <w:szCs w:val="20"/>
              </w:rPr>
              <w:t xml:space="preserve">Status</w:t>
            </w:r>
          </w:p>
        </w:tc>
        <w:tc>
          <w:tcPr>
            <w:tcW w:type="dxa" w:w="7631"/>
            <w:tcMar>
              <w:top w:type="dxa" w:w="80"/>
              <w:left w:type="dxa" w:w="100"/>
              <w:bottom w:type="dxa" w:w="80"/>
              <w:right w:type="dxa" w:w="100"/>
            </w:tcMar>
          </w:tcPr>
          <w:p>
            <w:r>
              <w:rPr>
                <w:b w:val="false"/>
                <w:bCs w:val="false"/>
                <w:sz w:val="20"/>
                <w:szCs w:val="20"/>
              </w:rPr>
              <w:t xml:space="preserve">Structural model settled for MVP scope (Iron-tier + one Class + one zone). Numeric ladders beyond the authored SpiralDemo table remain open (marked ⚠ OPEN).</w:t>
            </w:r>
          </w:p>
        </w:tc>
      </w:tr>
      <w:tr>
        <w:tc>
          <w:tcPr>
            <w:tcW w:type="dxa" w:w="2304"/>
            <w:tcMar>
              <w:top w:type="dxa" w:w="80"/>
              <w:left w:type="dxa" w:w="100"/>
              <w:bottom w:type="dxa" w:w="80"/>
              <w:right w:type="dxa" w:w="100"/>
            </w:tcMar>
          </w:tcPr>
          <w:p>
            <w:r>
              <w:rPr>
                <w:b w:val="false"/>
                <w:bCs w:val="false"/>
                <w:sz w:val="20"/>
                <w:szCs w:val="20"/>
              </w:rPr>
              <w:t xml:space="preserve">Depends on</w:t>
            </w:r>
          </w:p>
        </w:tc>
        <w:tc>
          <w:tcPr>
            <w:tcW w:type="dxa" w:w="7631"/>
            <w:tcMar>
              <w:top w:type="dxa" w:w="80"/>
              <w:left w:type="dxa" w:w="100"/>
              <w:bottom w:type="dxa" w:w="80"/>
              <w:right w:type="dxa" w:w="100"/>
            </w:tcMar>
          </w:tcPr>
          <w:p>
            <w:r>
              <w:rPr>
                <w:b w:val="false"/>
                <w:bCs w:val="false"/>
                <w:sz w:val="20"/>
                <w:szCs w:val="20"/>
              </w:rPr>
              <w:t xml:space="preserve">Spiral Unified Feat Thesis GDD v3; Spiral Feat Balance &amp; Authoring Support GDD v1; Spiral Feat &amp; Perk Authoring GDD v2; Alignment Spiral; Protofeats Renew 1.1; Advanced Knowledge v10; SpiralDemo</w:t>
            </w:r>
          </w:p>
        </w:tc>
      </w:tr>
    </w:tbl>
    <w:p>
      <w:r>
        <w:br w:type="page"/>
      </w:r>
    </w:p>
    <w:p>
      <w:pPr>
        <w:pStyle w:val="Heading1"/>
        <w:spacing w:after="160" w:before="320"/>
      </w:pPr>
      <w:r>
        <w:t xml:space="preserve">0. Purpose of this document</w:t>
      </w:r>
    </w:p>
    <w:p>
      <w:pPr>
        <w:spacing w:after="160"/>
      </w:pPr>
      <w:r>
        <w:rPr>
          <w:b w:val="false"/>
          <w:bCs w:val="false"/>
          <w:i w:val="false"/>
          <w:iCs w:val="false"/>
        </w:rPr>
        <w:t xml:space="preserve">This is a save point, not a new design pass. It consolidates decisions made across the design conversation so implementation can begin without re-deriving them, and it separates what is settled from what is still open. Where an item is unresolved, it is marked ⚠ OPEN and the blocking question is stated explicitly rather than guessed.</w:t>
      </w:r>
    </w:p>
    <w:p>
      <w:pPr>
        <w:spacing w:after="160"/>
      </w:pPr>
      <w:r>
        <w:rPr>
          <w:b w:val="false"/>
          <w:bCs w:val="false"/>
          <w:i w:val="false"/>
          <w:iCs w:val="false"/>
        </w:rPr>
        <w:t xml:space="preserve">The product goal has not changed since it was first stated: a passive builder — reference Path of Exile's tree behaviour and UI, not its content or its adjacency mechanic — that lets a player with only surface-level system knowledge assemble a build and be told, in return, which skills, ranks, attributes, traits, and classes (with class tier) are required to obtain it. At all times the player sees a compound, de-duplicated list of the advantages their current selection grants.</w:t>
      </w:r>
    </w:p>
    <w:p>
      <w:pPr>
        <w:pStyle w:val="Heading1"/>
        <w:spacing w:after="160" w:before="320"/>
      </w:pPr>
      <w:r>
        <w:t xml:space="preserve">1. Product scope</w:t>
      </w:r>
    </w:p>
    <w:tbl>
      <w:tblPr>
        <w:tblW w:type="dxa" w:w="9935"/>
        <w:tblBorders>
          <w:top w:val="single" w:color="auto" w:sz="4"/>
          <w:left w:val="single" w:color="auto" w:sz="4"/>
          <w:bottom w:val="single" w:color="auto" w:sz="4"/>
          <w:right w:val="single" w:color="auto" w:sz="4"/>
          <w:insideH w:val="single" w:color="auto" w:sz="4"/>
          <w:insideV w:val="single" w:color="auto" w:sz="4"/>
        </w:tblBorders>
      </w:tblPr>
      <w:tblGrid>
        <w:gridCol w:w="2735"/>
        <w:gridCol w:w="7200"/>
      </w:tblGrid>
      <w:tr>
        <w:trPr>
          <w:tblHeader/>
        </w:trPr>
        <w:tc>
          <w:tcPr>
            <w:tcW w:type="dxa" w:w="2735"/>
            <w:shd w:fill="E7E6E6" w:color="auto" w:val="clear"/>
            <w:tcMar>
              <w:top w:type="dxa" w:w="80"/>
              <w:left w:type="dxa" w:w="100"/>
              <w:bottom w:type="dxa" w:w="80"/>
              <w:right w:type="dxa" w:w="100"/>
            </w:tcMar>
          </w:tcPr>
          <w:p>
            <w:r>
              <w:rPr>
                <w:b/>
                <w:bCs/>
                <w:sz w:val="20"/>
                <w:szCs w:val="20"/>
              </w:rPr>
              <w:t xml:space="preserve">Decision</w:t>
            </w:r>
          </w:p>
        </w:tc>
        <w:tc>
          <w:tcPr>
            <w:tcW w:type="dxa" w:w="7200"/>
            <w:shd w:fill="E7E6E6" w:color="auto" w:val="clear"/>
            <w:tcMar>
              <w:top w:type="dxa" w:w="80"/>
              <w:left w:type="dxa" w:w="100"/>
              <w:bottom w:type="dxa" w:w="80"/>
              <w:right w:type="dxa" w:w="100"/>
            </w:tcMar>
          </w:tcPr>
          <w:p>
            <w:r>
              <w:rPr>
                <w:b/>
                <w:bCs/>
                <w:sz w:val="20"/>
                <w:szCs w:val="20"/>
              </w:rPr>
              <w:t xml:space="preserve">Value</w:t>
            </w:r>
          </w:p>
        </w:tc>
      </w:tr>
      <w:tr>
        <w:tc>
          <w:tcPr>
            <w:tcW w:type="dxa" w:w="2735"/>
            <w:tcMar>
              <w:top w:type="dxa" w:w="80"/>
              <w:left w:type="dxa" w:w="100"/>
              <w:bottom w:type="dxa" w:w="80"/>
              <w:right w:type="dxa" w:w="100"/>
            </w:tcMar>
          </w:tcPr>
          <w:p>
            <w:r>
              <w:rPr>
                <w:b w:val="false"/>
                <w:bCs w:val="false"/>
                <w:sz w:val="20"/>
                <w:szCs w:val="20"/>
              </w:rPr>
              <w:t xml:space="preserve">Primary user</w:t>
            </w:r>
          </w:p>
        </w:tc>
        <w:tc>
          <w:tcPr>
            <w:tcW w:type="dxa" w:w="7200"/>
            <w:tcMar>
              <w:top w:type="dxa" w:w="80"/>
              <w:left w:type="dxa" w:w="100"/>
              <w:bottom w:type="dxa" w:w="80"/>
              <w:right w:type="dxa" w:w="100"/>
            </w:tcMar>
          </w:tcPr>
          <w:p>
            <w:r>
              <w:rPr>
                <w:b w:val="false"/>
                <w:bCs w:val="false"/>
                <w:sz w:val="20"/>
                <w:szCs w:val="20"/>
              </w:rPr>
              <w:t xml:space="preserve">Player, surface-level system knowledge, goal: assemble a legal build and see its requirements</w:t>
            </w:r>
          </w:p>
        </w:tc>
      </w:tr>
      <w:tr>
        <w:tc>
          <w:tcPr>
            <w:tcW w:type="dxa" w:w="2735"/>
            <w:tcMar>
              <w:top w:type="dxa" w:w="80"/>
              <w:left w:type="dxa" w:w="100"/>
              <w:bottom w:type="dxa" w:w="80"/>
              <w:right w:type="dxa" w:w="100"/>
            </w:tcMar>
          </w:tcPr>
          <w:p>
            <w:r>
              <w:rPr>
                <w:b w:val="false"/>
                <w:bCs w:val="false"/>
                <w:sz w:val="20"/>
                <w:szCs w:val="20"/>
              </w:rPr>
              <w:t xml:space="preserve">Secondary user</w:t>
            </w:r>
          </w:p>
        </w:tc>
        <w:tc>
          <w:tcPr>
            <w:tcW w:type="dxa" w:w="7200"/>
            <w:tcMar>
              <w:top w:type="dxa" w:w="80"/>
              <w:left w:type="dxa" w:w="100"/>
              <w:bottom w:type="dxa" w:w="80"/>
              <w:right w:type="dxa" w:w="100"/>
            </w:tcMar>
          </w:tcPr>
          <w:p>
            <w:r>
              <w:rPr>
                <w:b w:val="false"/>
                <w:bCs w:val="false"/>
                <w:sz w:val="20"/>
                <w:szCs w:val="20"/>
              </w:rPr>
              <w:t xml:space="preserve">Author (project owner, sole source of truth) — same graph, traversed backward from a capstone concept</w:t>
            </w:r>
          </w:p>
        </w:tc>
      </w:tr>
      <w:tr>
        <w:tc>
          <w:tcPr>
            <w:tcW w:type="dxa" w:w="2735"/>
            <w:tcMar>
              <w:top w:type="dxa" w:w="80"/>
              <w:left w:type="dxa" w:w="100"/>
              <w:bottom w:type="dxa" w:w="80"/>
              <w:right w:type="dxa" w:w="100"/>
            </w:tcMar>
          </w:tcPr>
          <w:p>
            <w:r>
              <w:rPr>
                <w:b w:val="false"/>
                <w:bCs w:val="false"/>
                <w:sz w:val="20"/>
                <w:szCs w:val="20"/>
              </w:rPr>
              <w:t xml:space="preserve">Platform</w:t>
            </w:r>
          </w:p>
        </w:tc>
        <w:tc>
          <w:tcPr>
            <w:tcW w:type="dxa" w:w="7200"/>
            <w:tcMar>
              <w:top w:type="dxa" w:w="80"/>
              <w:left w:type="dxa" w:w="100"/>
              <w:bottom w:type="dxa" w:w="80"/>
              <w:right w:type="dxa" w:w="100"/>
            </w:tcMar>
          </w:tcPr>
          <w:p>
            <w:r>
              <w:rPr>
                <w:b w:val="false"/>
                <w:bCs w:val="false"/>
                <w:sz w:val="20"/>
                <w:szCs w:val="20"/>
              </w:rPr>
              <w:t xml:space="preserve">Static web app. No backend, no accounts, no multi-session sync.</w:t>
            </w:r>
          </w:p>
        </w:tc>
      </w:tr>
      <w:tr>
        <w:tc>
          <w:tcPr>
            <w:tcW w:type="dxa" w:w="2735"/>
            <w:tcMar>
              <w:top w:type="dxa" w:w="80"/>
              <w:left w:type="dxa" w:w="100"/>
              <w:bottom w:type="dxa" w:w="80"/>
              <w:right w:type="dxa" w:w="100"/>
            </w:tcMar>
          </w:tcPr>
          <w:p>
            <w:r>
              <w:rPr>
                <w:b w:val="false"/>
                <w:bCs w:val="false"/>
                <w:sz w:val="20"/>
                <w:szCs w:val="20"/>
              </w:rPr>
              <w:t xml:space="preserve">Persistence</w:t>
            </w:r>
          </w:p>
        </w:tc>
        <w:tc>
          <w:tcPr>
            <w:tcW w:type="dxa" w:w="7200"/>
            <w:tcMar>
              <w:top w:type="dxa" w:w="80"/>
              <w:left w:type="dxa" w:w="100"/>
              <w:bottom w:type="dxa" w:w="80"/>
              <w:right w:type="dxa" w:w="100"/>
            </w:tcMar>
          </w:tcPr>
          <w:p>
            <w:r>
              <w:rPr>
                <w:b w:val="false"/>
                <w:bCs w:val="false"/>
                <w:sz w:val="20"/>
                <w:szCs w:val="20"/>
              </w:rPr>
              <w:t xml:space="preserve">Build state lives in a shareable URL and/or an exported .md/.txt file. Load-from-file re-imports a build for review.</w:t>
            </w:r>
          </w:p>
        </w:tc>
      </w:tr>
      <w:tr>
        <w:tc>
          <w:tcPr>
            <w:tcW w:type="dxa" w:w="2735"/>
            <w:tcMar>
              <w:top w:type="dxa" w:w="80"/>
              <w:left w:type="dxa" w:w="100"/>
              <w:bottom w:type="dxa" w:w="80"/>
              <w:right w:type="dxa" w:w="100"/>
            </w:tcMar>
          </w:tcPr>
          <w:p>
            <w:r>
              <w:rPr>
                <w:b w:val="false"/>
                <w:bCs w:val="false"/>
                <w:sz w:val="20"/>
                <w:szCs w:val="20"/>
              </w:rPr>
              <w:t xml:space="preserve">Authoring input</w:t>
            </w:r>
          </w:p>
        </w:tc>
        <w:tc>
          <w:tcPr>
            <w:tcW w:type="dxa" w:w="7200"/>
            <w:tcMar>
              <w:top w:type="dxa" w:w="80"/>
              <w:left w:type="dxa" w:w="100"/>
              <w:bottom w:type="dxa" w:w="80"/>
              <w:right w:type="dxa" w:w="100"/>
            </w:tcMar>
          </w:tcPr>
          <w:p>
            <w:r>
              <w:rPr>
                <w:b w:val="false"/>
                <w:bCs w:val="false"/>
                <w:sz w:val="20"/>
                <w:szCs w:val="20"/>
              </w:rPr>
              <w:t xml:space="preserve">Structured dataset (JSON, generated from CSV/XLSX passes), not a general CMS</w:t>
            </w:r>
          </w:p>
        </w:tc>
      </w:tr>
      <w:tr>
        <w:tc>
          <w:tcPr>
            <w:tcW w:type="dxa" w:w="2735"/>
            <w:tcMar>
              <w:top w:type="dxa" w:w="80"/>
              <w:left w:type="dxa" w:w="100"/>
              <w:bottom w:type="dxa" w:w="80"/>
              <w:right w:type="dxa" w:w="100"/>
            </w:tcMar>
          </w:tcPr>
          <w:p>
            <w:r>
              <w:rPr>
                <w:b w:val="false"/>
                <w:bCs w:val="false"/>
                <w:sz w:val="20"/>
                <w:szCs w:val="20"/>
              </w:rPr>
              <w:t xml:space="preserve">Content scope, v0</w:t>
            </w:r>
          </w:p>
        </w:tc>
        <w:tc>
          <w:tcPr>
            <w:tcW w:type="dxa" w:w="7200"/>
            <w:tcMar>
              <w:top w:type="dxa" w:w="80"/>
              <w:left w:type="dxa" w:w="100"/>
              <w:bottom w:type="dxa" w:w="80"/>
              <w:right w:type="dxa" w:w="100"/>
            </w:tcMar>
          </w:tcPr>
          <w:p>
            <w:r>
              <w:rPr>
                <w:b w:val="false"/>
                <w:bCs w:val="false"/>
                <w:sz w:val="20"/>
                <w:szCs w:val="20"/>
              </w:rPr>
              <w:t xml:space="preserve">Common-rarity Feats/Perks only, one fully authored zone, one fully authored skill family (candidate: Warrior / Heavy Weapons+Armor)</w:t>
            </w:r>
          </w:p>
        </w:tc>
      </w:tr>
      <w:tr>
        <w:tc>
          <w:tcPr>
            <w:tcW w:type="dxa" w:w="2735"/>
            <w:tcMar>
              <w:top w:type="dxa" w:w="80"/>
              <w:left w:type="dxa" w:w="100"/>
              <w:bottom w:type="dxa" w:w="80"/>
              <w:right w:type="dxa" w:w="100"/>
            </w:tcMar>
          </w:tcPr>
          <w:p>
            <w:r>
              <w:rPr>
                <w:b w:val="false"/>
                <w:bCs w:val="false"/>
                <w:sz w:val="20"/>
                <w:szCs w:val="20"/>
              </w:rPr>
              <w:t xml:space="preserve">Explicitly deferred</w:t>
            </w:r>
          </w:p>
        </w:tc>
        <w:tc>
          <w:tcPr>
            <w:tcW w:type="dxa" w:w="7200"/>
            <w:tcMar>
              <w:top w:type="dxa" w:w="80"/>
              <w:left w:type="dxa" w:w="100"/>
              <w:bottom w:type="dxa" w:w="80"/>
              <w:right w:type="dxa" w:w="100"/>
            </w:tcMar>
          </w:tcPr>
          <w:p>
            <w:r>
              <w:rPr>
                <w:b w:val="false"/>
                <w:bCs w:val="false"/>
                <w:sz w:val="20"/>
                <w:szCs w:val="20"/>
              </w:rPr>
              <w:t xml:space="preserve">Rare/Supernatural Feats, multi-zone content, real-time multi-author tooling, character-sheet integration</w:t>
            </w:r>
          </w:p>
        </w:tc>
      </w:tr>
    </w:tbl>
    <w:p>
      <w:pPr>
        <w:pBdr>
          <w:left w:val="single" w:color="999999" w:sz="12" w:space="8"/>
        </w:pBdr>
        <w:spacing w:after="200" w:before="100"/>
        <w:ind w:left="200"/>
      </w:pPr>
      <w:r>
        <w:rPr>
          <w:i/>
          <w:iCs/>
        </w:rPr>
        <w:t xml:space="preserve">Unity 6 was considered and rejected as the primary target: it biases toward a PC app and adds engine overhead a URL-shareable, mobile-loadable web tool doesn't need. It remains the right choice only if this tree is later embedded inside the game client itself, in which case the dataset format below still applies and the UI layer moves to UI Toolkit.</w:t>
      </w:r>
    </w:p>
    <w:p>
      <w:pPr>
        <w:pStyle w:val="Heading1"/>
        <w:spacing w:after="160" w:before="320"/>
      </w:pPr>
      <w:r>
        <w:t xml:space="preserve">2. Reference model: what Path of Exile contributes and what it doesn't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4320"/>
        <w:gridCol w:w="1296"/>
        <w:gridCol w:w="4320"/>
      </w:tblGrid>
      <w:tr>
        <w:trPr>
          <w:tblHeader/>
        </w:trPr>
        <w:tc>
          <w:tcPr>
            <w:tcW w:type="dxa" w:w="4320"/>
            <w:shd w:fill="E7E6E6" w:color="auto" w:val="clear"/>
            <w:tcMar>
              <w:top w:type="dxa" w:w="80"/>
              <w:left w:type="dxa" w:w="100"/>
              <w:bottom w:type="dxa" w:w="80"/>
              <w:right w:type="dxa" w:w="100"/>
            </w:tcMar>
          </w:tcPr>
          <w:p>
            <w:r>
              <w:rPr>
                <w:b/>
                <w:bCs/>
                <w:sz w:val="20"/>
                <w:szCs w:val="20"/>
              </w:rPr>
              <w:t xml:space="preserve">Aspect</w:t>
            </w:r>
          </w:p>
        </w:tc>
        <w:tc>
          <w:tcPr>
            <w:tcW w:type="dxa" w:w="1296"/>
            <w:shd w:fill="E7E6E6" w:color="auto" w:val="clear"/>
            <w:tcMar>
              <w:top w:type="dxa" w:w="80"/>
              <w:left w:type="dxa" w:w="100"/>
              <w:bottom w:type="dxa" w:w="80"/>
              <w:right w:type="dxa" w:w="100"/>
            </w:tcMar>
          </w:tcPr>
          <w:p>
            <w:r>
              <w:rPr>
                <w:b/>
                <w:bCs/>
                <w:sz w:val="20"/>
                <w:szCs w:val="20"/>
              </w:rPr>
              <w:t xml:space="preserve">Adopt from PoE?</w:t>
            </w:r>
          </w:p>
        </w:tc>
        <w:tc>
          <w:tcPr>
            <w:tcW w:type="dxa" w:w="4320"/>
            <w:shd w:fill="E7E6E6" w:color="auto" w:val="clear"/>
            <w:tcMar>
              <w:top w:type="dxa" w:w="80"/>
              <w:left w:type="dxa" w:w="100"/>
              <w:bottom w:type="dxa" w:w="80"/>
              <w:right w:type="dxa" w:w="100"/>
            </w:tcMar>
          </w:tcPr>
          <w:p>
            <w:r>
              <w:rPr>
                <w:b/>
                <w:bCs/>
                <w:sz w:val="20"/>
                <w:szCs w:val="20"/>
              </w:rPr>
              <w:t xml:space="preserve">Reasoning</w:t>
            </w:r>
          </w:p>
        </w:tc>
      </w:tr>
      <w:tr>
        <w:tc>
          <w:tcPr>
            <w:tcW w:type="dxa" w:w="4320"/>
            <w:tcMar>
              <w:top w:type="dxa" w:w="80"/>
              <w:left w:type="dxa" w:w="100"/>
              <w:bottom w:type="dxa" w:w="80"/>
              <w:right w:type="dxa" w:w="100"/>
            </w:tcMar>
          </w:tcPr>
          <w:p>
            <w:r>
              <w:rPr>
                <w:b w:val="false"/>
                <w:bCs w:val="false"/>
                <w:sz w:val="20"/>
                <w:szCs w:val="20"/>
              </w:rPr>
              <w:t xml:space="preserve">Visual language (radial tree, notables vs small nodes, allocated/unallocated states, path highlight on hover)</w:t>
            </w:r>
          </w:p>
        </w:tc>
        <w:tc>
          <w:tcPr>
            <w:tcW w:type="dxa" w:w="1296"/>
            <w:tcMar>
              <w:top w:type="dxa" w:w="80"/>
              <w:left w:type="dxa" w:w="100"/>
              <w:bottom w:type="dxa" w:w="80"/>
              <w:right w:type="dxa" w:w="100"/>
            </w:tcMar>
          </w:tcPr>
          <w:p>
            <w:r>
              <w:rPr>
                <w:b w:val="false"/>
                <w:bCs w:val="false"/>
                <w:sz w:val="20"/>
                <w:szCs w:val="20"/>
              </w:rPr>
              <w:t xml:space="preserve">Yes</w:t>
            </w:r>
          </w:p>
        </w:tc>
        <w:tc>
          <w:tcPr>
            <w:tcW w:type="dxa" w:w="4320"/>
            <w:tcMar>
              <w:top w:type="dxa" w:w="80"/>
              <w:left w:type="dxa" w:w="100"/>
              <w:bottom w:type="dxa" w:w="80"/>
              <w:right w:type="dxa" w:w="100"/>
            </w:tcMar>
          </w:tcPr>
          <w:p>
            <w:r>
              <w:rPr>
                <w:b w:val="false"/>
                <w:bCs w:val="false"/>
                <w:sz w:val="20"/>
                <w:szCs w:val="20"/>
              </w:rPr>
              <w:t xml:space="preserve">Proven legibility at 1000+ nodes</w:t>
            </w:r>
          </w:p>
        </w:tc>
      </w:tr>
      <w:tr>
        <w:tc>
          <w:tcPr>
            <w:tcW w:type="dxa" w:w="4320"/>
            <w:tcMar>
              <w:top w:type="dxa" w:w="80"/>
              <w:left w:type="dxa" w:w="100"/>
              <w:bottom w:type="dxa" w:w="80"/>
              <w:right w:type="dxa" w:w="100"/>
            </w:tcMar>
          </w:tcPr>
          <w:p>
            <w:r>
              <w:rPr>
                <w:b w:val="false"/>
                <w:bCs w:val="false"/>
                <w:sz w:val="20"/>
                <w:szCs w:val="20"/>
              </w:rPr>
              <w:t xml:space="preserve">Physical node adjacency as the rules mechanic</w:t>
            </w:r>
          </w:p>
        </w:tc>
        <w:tc>
          <w:tcPr>
            <w:tcW w:type="dxa" w:w="1296"/>
            <w:tcMar>
              <w:top w:type="dxa" w:w="80"/>
              <w:left w:type="dxa" w:w="100"/>
              <w:bottom w:type="dxa" w:w="80"/>
              <w:right w:type="dxa" w:w="100"/>
            </w:tcMar>
          </w:tcPr>
          <w:p>
            <w:r>
              <w:rPr>
                <w:b w:val="false"/>
                <w:bCs w:val="false"/>
                <w:sz w:val="20"/>
                <w:szCs w:val="20"/>
              </w:rPr>
              <w:t xml:space="preserve">No</w:t>
            </w:r>
          </w:p>
        </w:tc>
        <w:tc>
          <w:tcPr>
            <w:tcW w:type="dxa" w:w="4320"/>
            <w:tcMar>
              <w:top w:type="dxa" w:w="80"/>
              <w:left w:type="dxa" w:w="100"/>
              <w:bottom w:type="dxa" w:w="80"/>
              <w:right w:type="dxa" w:w="100"/>
            </w:tcMar>
          </w:tcPr>
          <w:p>
            <w:r>
              <w:rPr>
                <w:b w:val="false"/>
                <w:bCs w:val="false"/>
                <w:sz w:val="20"/>
                <w:szCs w:val="20"/>
              </w:rPr>
              <w:t xml:space="preserve">Spiral is requirement-gated, not path-gated. Position carries no rules weight.</w:t>
            </w:r>
          </w:p>
        </w:tc>
      </w:tr>
      <w:tr>
        <w:tc>
          <w:tcPr>
            <w:tcW w:type="dxa" w:w="4320"/>
            <w:tcMar>
              <w:top w:type="dxa" w:w="80"/>
              <w:left w:type="dxa" w:w="100"/>
              <w:bottom w:type="dxa" w:w="80"/>
              <w:right w:type="dxa" w:w="100"/>
            </w:tcMar>
          </w:tcPr>
          <w:p>
            <w:r>
              <w:rPr>
                <w:b w:val="false"/>
                <w:bCs w:val="false"/>
                <w:sz w:val="20"/>
                <w:szCs w:val="20"/>
              </w:rPr>
              <w:t xml:space="preserve">1 point = 1 node purchase ratio</w:t>
            </w:r>
          </w:p>
        </w:tc>
        <w:tc>
          <w:tcPr>
            <w:tcW w:type="dxa" w:w="1296"/>
            <w:tcMar>
              <w:top w:type="dxa" w:w="80"/>
              <w:left w:type="dxa" w:w="100"/>
              <w:bottom w:type="dxa" w:w="80"/>
              <w:right w:type="dxa" w:w="100"/>
            </w:tcMar>
          </w:tcPr>
          <w:p>
            <w:r>
              <w:rPr>
                <w:b w:val="false"/>
                <w:bCs w:val="false"/>
                <w:sz w:val="20"/>
                <w:szCs w:val="20"/>
              </w:rPr>
              <w:t xml:space="preserve">Yes, confirmed</w:t>
            </w:r>
          </w:p>
        </w:tc>
        <w:tc>
          <w:tcPr>
            <w:tcW w:type="dxa" w:w="4320"/>
            <w:tcMar>
              <w:top w:type="dxa" w:w="80"/>
              <w:left w:type="dxa" w:w="100"/>
              <w:bottom w:type="dxa" w:w="80"/>
              <w:right w:type="dxa" w:w="100"/>
            </w:tcMar>
          </w:tcPr>
          <w:p>
            <w:r>
              <w:rPr>
                <w:b w:val="false"/>
                <w:bCs w:val="false"/>
                <w:sz w:val="20"/>
                <w:szCs w:val="20"/>
              </w:rPr>
              <w:t xml:space="preserve">A Feat Header (1–3 Perks/clauses bundled) is the purchase unit, exactly like one PoE node. See §6.</w:t>
            </w:r>
          </w:p>
        </w:tc>
      </w:tr>
      <w:tr>
        <w:tc>
          <w:tcPr>
            <w:tcW w:type="dxa" w:w="4320"/>
            <w:tcMar>
              <w:top w:type="dxa" w:w="80"/>
              <w:left w:type="dxa" w:w="100"/>
              <w:bottom w:type="dxa" w:w="80"/>
              <w:right w:type="dxa" w:w="100"/>
            </w:tcMar>
          </w:tcPr>
          <w:p>
            <w:r>
              <w:rPr>
                <w:b w:val="false"/>
                <w:bCs w:val="false"/>
                <w:sz w:val="20"/>
                <w:szCs w:val="20"/>
              </w:rPr>
              <w:t xml:space="preserve">Hand-authored layout</w:t>
            </w:r>
          </w:p>
        </w:tc>
        <w:tc>
          <w:tcPr>
            <w:tcW w:type="dxa" w:w="1296"/>
            <w:tcMar>
              <w:top w:type="dxa" w:w="80"/>
              <w:left w:type="dxa" w:w="100"/>
              <w:bottom w:type="dxa" w:w="80"/>
              <w:right w:type="dxa" w:w="100"/>
            </w:tcMar>
          </w:tcPr>
          <w:p>
            <w:r>
              <w:rPr>
                <w:b w:val="false"/>
                <w:bCs w:val="false"/>
                <w:sz w:val="20"/>
                <w:szCs w:val="20"/>
              </w:rPr>
              <w:t xml:space="preserve">No</w:t>
            </w:r>
          </w:p>
        </w:tc>
        <w:tc>
          <w:tcPr>
            <w:tcW w:type="dxa" w:w="4320"/>
            <w:tcMar>
              <w:top w:type="dxa" w:w="80"/>
              <w:left w:type="dxa" w:w="100"/>
              <w:bottom w:type="dxa" w:w="80"/>
              <w:right w:type="dxa" w:w="100"/>
            </w:tcMar>
          </w:tcPr>
          <w:p>
            <w:r>
              <w:rPr>
                <w:b w:val="false"/>
                <w:bCs w:val="false"/>
                <w:sz w:val="20"/>
                <w:szCs w:val="20"/>
              </w:rPr>
              <w:t xml:space="preserve">Not affordable at Spiral's node counts (1300+ is plausible). Layout is procedural instead — see §10.</w:t>
            </w:r>
          </w:p>
        </w:tc>
      </w:tr>
      <w:tr>
        <w:tc>
          <w:tcPr>
            <w:tcW w:type="dxa" w:w="4320"/>
            <w:tcMar>
              <w:top w:type="dxa" w:w="80"/>
              <w:left w:type="dxa" w:w="100"/>
              <w:bottom w:type="dxa" w:w="80"/>
              <w:right w:type="dxa" w:w="100"/>
            </w:tcMar>
          </w:tcPr>
          <w:p>
            <w:r>
              <w:rPr>
                <w:b w:val="false"/>
                <w:bCs w:val="false"/>
                <w:sz w:val="20"/>
                <w:szCs w:val="20"/>
              </w:rPr>
              <w:t xml:space="preserve">"Path to node" investment summary tools (third-party PoE build calculators)</w:t>
            </w:r>
          </w:p>
        </w:tc>
        <w:tc>
          <w:tcPr>
            <w:tcW w:type="dxa" w:w="1296"/>
            <w:tcMar>
              <w:top w:type="dxa" w:w="80"/>
              <w:left w:type="dxa" w:w="100"/>
              <w:bottom w:type="dxa" w:w="80"/>
              <w:right w:type="dxa" w:w="100"/>
            </w:tcMar>
          </w:tcPr>
          <w:p>
            <w:r>
              <w:rPr>
                <w:b w:val="false"/>
                <w:bCs w:val="false"/>
                <w:sz w:val="20"/>
                <w:szCs w:val="20"/>
              </w:rPr>
              <w:t xml:space="preserve">Yes, as a UX pattern</w:t>
            </w:r>
          </w:p>
        </w:tc>
        <w:tc>
          <w:tcPr>
            <w:tcW w:type="dxa" w:w="4320"/>
            <w:tcMar>
              <w:top w:type="dxa" w:w="80"/>
              <w:left w:type="dxa" w:w="100"/>
              <w:bottom w:type="dxa" w:w="80"/>
              <w:right w:type="dxa" w:w="100"/>
            </w:tcMar>
          </w:tcPr>
          <w:p>
            <w:r>
              <w:rPr>
                <w:b w:val="false"/>
                <w:bCs w:val="false"/>
                <w:sz w:val="20"/>
                <w:szCs w:val="20"/>
              </w:rPr>
              <w:t xml:space="preserve">This is precisely the requirement-closure feature this app is built around</w:t>
            </w:r>
          </w:p>
        </w:tc>
      </w:tr>
    </w:tbl>
    <w:p>
      <w:pPr>
        <w:pStyle w:val="Heading1"/>
        <w:spacing w:after="160" w:before="320"/>
      </w:pPr>
      <w:r>
        <w:t xml:space="preserve">3. Core data objects</w:t>
      </w:r>
    </w:p>
    <w:p>
      <w:pPr>
        <w:spacing w:after="160"/>
      </w:pPr>
      <w:r>
        <w:rPr>
          <w:b w:val="false"/>
          <w:bCs w:val="false"/>
          <w:i w:val="false"/>
          <w:iCs w:val="false"/>
        </w:rPr>
        <w:t xml:space="preserve">Five node types share one edge type (requires). Everything the player or author interacts with is one of these.</w:t>
      </w:r>
    </w:p>
    <w:tbl>
      <w:tblPr>
        <w:tblW w:type="dxa" w:w="9647"/>
        <w:tblBorders>
          <w:top w:val="single" w:color="auto" w:sz="4"/>
          <w:left w:val="single" w:color="auto" w:sz="4"/>
          <w:bottom w:val="single" w:color="auto" w:sz="4"/>
          <w:right w:val="single" w:color="auto" w:sz="4"/>
          <w:insideH w:val="single" w:color="auto" w:sz="4"/>
          <w:insideV w:val="single" w:color="auto" w:sz="4"/>
        </w:tblBorders>
      </w:tblPr>
      <w:tblGrid>
        <w:gridCol w:w="1727"/>
        <w:gridCol w:w="5328"/>
        <w:gridCol w:w="2592"/>
      </w:tblGrid>
      <w:tr>
        <w:trPr>
          <w:tblHeader/>
        </w:trPr>
        <w:tc>
          <w:tcPr>
            <w:tcW w:type="dxa" w:w="1727"/>
            <w:shd w:fill="E7E6E6" w:color="auto" w:val="clear"/>
            <w:tcMar>
              <w:top w:type="dxa" w:w="80"/>
              <w:left w:type="dxa" w:w="100"/>
              <w:bottom w:type="dxa" w:w="80"/>
              <w:right w:type="dxa" w:w="100"/>
            </w:tcMar>
          </w:tcPr>
          <w:p>
            <w:r>
              <w:rPr>
                <w:b/>
                <w:bCs/>
                <w:sz w:val="20"/>
                <w:szCs w:val="20"/>
              </w:rPr>
              <w:t xml:space="preserve">Object</w:t>
            </w:r>
          </w:p>
        </w:tc>
        <w:tc>
          <w:tcPr>
            <w:tcW w:type="dxa" w:w="5328"/>
            <w:shd w:fill="E7E6E6" w:color="auto" w:val="clear"/>
            <w:tcMar>
              <w:top w:type="dxa" w:w="80"/>
              <w:left w:type="dxa" w:w="100"/>
              <w:bottom w:type="dxa" w:w="80"/>
              <w:right w:type="dxa" w:w="100"/>
            </w:tcMar>
          </w:tcPr>
          <w:p>
            <w:r>
              <w:rPr>
                <w:b/>
                <w:bCs/>
                <w:sz w:val="20"/>
                <w:szCs w:val="20"/>
              </w:rPr>
              <w:t xml:space="preserve">Definition</w:t>
            </w:r>
          </w:p>
        </w:tc>
        <w:tc>
          <w:tcPr>
            <w:tcW w:type="dxa" w:w="2592"/>
            <w:shd w:fill="E7E6E6" w:color="auto" w:val="clear"/>
            <w:tcMar>
              <w:top w:type="dxa" w:w="80"/>
              <w:left w:type="dxa" w:w="100"/>
              <w:bottom w:type="dxa" w:w="80"/>
              <w:right w:type="dxa" w:w="100"/>
            </w:tcMar>
          </w:tcPr>
          <w:p>
            <w:r>
              <w:rPr>
                <w:b/>
                <w:bCs/>
                <w:sz w:val="20"/>
                <w:szCs w:val="20"/>
              </w:rPr>
              <w:t xml:space="preserve">Count (current data)</w:t>
            </w:r>
          </w:p>
        </w:tc>
      </w:tr>
      <w:tr>
        <w:tc>
          <w:tcPr>
            <w:tcW w:type="dxa" w:w="1727"/>
            <w:tcMar>
              <w:top w:type="dxa" w:w="80"/>
              <w:left w:type="dxa" w:w="100"/>
              <w:bottom w:type="dxa" w:w="80"/>
              <w:right w:type="dxa" w:w="100"/>
            </w:tcMar>
          </w:tcPr>
          <w:p>
            <w:r>
              <w:rPr>
                <w:b w:val="false"/>
                <w:bCs w:val="false"/>
                <w:sz w:val="20"/>
                <w:szCs w:val="20"/>
              </w:rPr>
              <w:t xml:space="preserve">Skill</w:t>
            </w:r>
          </w:p>
        </w:tc>
        <w:tc>
          <w:tcPr>
            <w:tcW w:type="dxa" w:w="5328"/>
            <w:tcMar>
              <w:top w:type="dxa" w:w="80"/>
              <w:left w:type="dxa" w:w="100"/>
              <w:bottom w:type="dxa" w:w="80"/>
              <w:right w:type="dxa" w:w="100"/>
            </w:tcMar>
          </w:tcPr>
          <w:p>
            <w:r>
              <w:rPr>
                <w:b w:val="false"/>
                <w:bCs w:val="false"/>
                <w:sz w:val="20"/>
                <w:szCs w:val="20"/>
              </w:rPr>
              <w:t xml:space="preserve">An Iron-tier root action. Parameterized skills (Knowledge, Perform) carry an instance list.</w:t>
            </w:r>
          </w:p>
        </w:tc>
        <w:tc>
          <w:tcPr>
            <w:tcW w:type="dxa" w:w="2592"/>
            <w:tcMar>
              <w:top w:type="dxa" w:w="80"/>
              <w:left w:type="dxa" w:w="100"/>
              <w:bottom w:type="dxa" w:w="80"/>
              <w:right w:type="dxa" w:w="100"/>
            </w:tcMar>
          </w:tcPr>
          <w:p>
            <w:r>
              <w:rPr>
                <w:b w:val="false"/>
                <w:bCs w:val="false"/>
                <w:sz w:val="20"/>
                <w:szCs w:val="20"/>
              </w:rPr>
              <w:t xml:space="preserve">55 (12 Core, 43 Support) — see §9</w:t>
            </w:r>
          </w:p>
        </w:tc>
      </w:tr>
      <w:tr>
        <w:tc>
          <w:tcPr>
            <w:tcW w:type="dxa" w:w="1727"/>
            <w:tcMar>
              <w:top w:type="dxa" w:w="80"/>
              <w:left w:type="dxa" w:w="100"/>
              <w:bottom w:type="dxa" w:w="80"/>
              <w:right w:type="dxa" w:w="100"/>
            </w:tcMar>
          </w:tcPr>
          <w:p>
            <w:r>
              <w:rPr>
                <w:b w:val="false"/>
                <w:bCs w:val="false"/>
                <w:sz w:val="20"/>
                <w:szCs w:val="20"/>
              </w:rPr>
              <w:t xml:space="preserve">Specialization</w:t>
            </w:r>
          </w:p>
        </w:tc>
        <w:tc>
          <w:tcPr>
            <w:tcW w:type="dxa" w:w="5328"/>
            <w:tcMar>
              <w:top w:type="dxa" w:w="80"/>
              <w:left w:type="dxa" w:w="100"/>
              <w:bottom w:type="dxa" w:w="80"/>
              <w:right w:type="dxa" w:w="100"/>
            </w:tcMar>
          </w:tcPr>
          <w:p>
            <w:r>
              <w:rPr>
                <w:b w:val="false"/>
                <w:bCs w:val="false"/>
                <w:sz w:val="20"/>
                <w:szCs w:val="20"/>
              </w:rPr>
              <w:t xml:space="preserve">A named branch opened at Skill level 10, deepening one parent Skill's action.</w:t>
            </w:r>
          </w:p>
        </w:tc>
        <w:tc>
          <w:tcPr>
            <w:tcW w:type="dxa" w:w="2592"/>
            <w:tcMar>
              <w:top w:type="dxa" w:w="80"/>
              <w:left w:type="dxa" w:w="100"/>
              <w:bottom w:type="dxa" w:w="80"/>
              <w:right w:type="dxa" w:w="100"/>
            </w:tcMar>
          </w:tcPr>
          <w:p>
            <w:r>
              <w:rPr>
                <w:b w:val="false"/>
                <w:bCs w:val="false"/>
                <w:sz w:val="20"/>
                <w:szCs w:val="20"/>
              </w:rPr>
              <w:t xml:space="preserve">181, mapped to parent Skill — see §9</w:t>
            </w:r>
          </w:p>
        </w:tc>
      </w:tr>
      <w:tr>
        <w:tc>
          <w:tcPr>
            <w:tcW w:type="dxa" w:w="1727"/>
            <w:tcMar>
              <w:top w:type="dxa" w:w="80"/>
              <w:left w:type="dxa" w:w="100"/>
              <w:bottom w:type="dxa" w:w="80"/>
              <w:right w:type="dxa" w:w="100"/>
            </w:tcMar>
          </w:tcPr>
          <w:p>
            <w:r>
              <w:rPr>
                <w:b w:val="false"/>
                <w:bCs w:val="false"/>
                <w:sz w:val="20"/>
                <w:szCs w:val="20"/>
              </w:rPr>
              <w:t xml:space="preserve">Advanced Knowledge node</w:t>
            </w:r>
          </w:p>
        </w:tc>
        <w:tc>
          <w:tcPr>
            <w:tcW w:type="dxa" w:w="5328"/>
            <w:tcMar>
              <w:top w:type="dxa" w:w="80"/>
              <w:left w:type="dxa" w:w="100"/>
              <w:bottom w:type="dxa" w:w="80"/>
              <w:right w:type="dxa" w:w="100"/>
            </w:tcMar>
          </w:tcPr>
          <w:p>
            <w:r>
              <w:rPr>
                <w:b w:val="false"/>
                <w:bCs w:val="false"/>
                <w:sz w:val="20"/>
                <w:szCs w:val="20"/>
              </w:rPr>
              <w:t xml:space="preserve">A branch beyond Skill level 10, gated in 5 steps (Req Lv 9/12/15/18/20 in legacy data), zone-local, granted by trainer/tome/guild.</w:t>
            </w:r>
          </w:p>
        </w:tc>
        <w:tc>
          <w:tcPr>
            <w:tcW w:type="dxa" w:w="2592"/>
            <w:tcMar>
              <w:top w:type="dxa" w:w="80"/>
              <w:left w:type="dxa" w:w="100"/>
              <w:bottom w:type="dxa" w:w="80"/>
              <w:right w:type="dxa" w:w="100"/>
            </w:tcMar>
          </w:tcPr>
          <w:p>
            <w:r>
              <w:rPr>
                <w:b w:val="false"/>
                <w:bCs w:val="false"/>
                <w:sz w:val="20"/>
                <w:szCs w:val="20"/>
              </w:rPr>
              <w:t xml:space="preserve">Two zones authored (DarkLawful, NeutralGuild) — partial, see §9</w:t>
            </w:r>
          </w:p>
        </w:tc>
      </w:tr>
      <w:tr>
        <w:tc>
          <w:tcPr>
            <w:tcW w:type="dxa" w:w="1727"/>
            <w:tcMar>
              <w:top w:type="dxa" w:w="80"/>
              <w:left w:type="dxa" w:w="100"/>
              <w:bottom w:type="dxa" w:w="80"/>
              <w:right w:type="dxa" w:w="100"/>
            </w:tcMar>
          </w:tcPr>
          <w:p>
            <w:r>
              <w:rPr>
                <w:b w:val="false"/>
                <w:bCs w:val="false"/>
                <w:sz w:val="20"/>
                <w:szCs w:val="20"/>
              </w:rPr>
              <w:t xml:space="preserve">Perk</w:t>
            </w:r>
          </w:p>
        </w:tc>
        <w:tc>
          <w:tcPr>
            <w:tcW w:type="dxa" w:w="5328"/>
            <w:tcMar>
              <w:top w:type="dxa" w:w="80"/>
              <w:left w:type="dxa" w:w="100"/>
              <w:bottom w:type="dxa" w:w="80"/>
              <w:right w:type="dxa" w:w="100"/>
            </w:tcMar>
          </w:tcPr>
          <w:p>
            <w:r>
              <w:rPr>
                <w:b w:val="false"/>
                <w:bCs w:val="false"/>
                <w:sz w:val="20"/>
                <w:szCs w:val="20"/>
              </w:rPr>
              <w:t xml:space="preserve">One purpose-atomic passive clause. Stores {subject, effect family, tier}, never a raw number.</w:t>
            </w:r>
          </w:p>
        </w:tc>
        <w:tc>
          <w:tcPr>
            <w:tcW w:type="dxa" w:w="2592"/>
            <w:tcMar>
              <w:top w:type="dxa" w:w="80"/>
              <w:left w:type="dxa" w:w="100"/>
              <w:bottom w:type="dxa" w:w="80"/>
              <w:right w:type="dxa" w:w="100"/>
            </w:tcMar>
          </w:tcPr>
          <w:p>
            <w:r>
              <w:rPr>
                <w:b w:val="false"/>
                <w:bCs w:val="false"/>
                <w:sz w:val="20"/>
                <w:szCs w:val="20"/>
              </w:rPr>
              <w:t xml:space="preserve">Formalism defined; catalog not yet populated</w:t>
            </w:r>
          </w:p>
        </w:tc>
      </w:tr>
      <w:tr>
        <w:tc>
          <w:tcPr>
            <w:tcW w:type="dxa" w:w="1727"/>
            <w:tcMar>
              <w:top w:type="dxa" w:w="80"/>
              <w:left w:type="dxa" w:w="100"/>
              <w:bottom w:type="dxa" w:w="80"/>
              <w:right w:type="dxa" w:w="100"/>
            </w:tcMar>
          </w:tcPr>
          <w:p>
            <w:r>
              <w:rPr>
                <w:b w:val="false"/>
                <w:bCs w:val="false"/>
                <w:sz w:val="20"/>
                <w:szCs w:val="20"/>
              </w:rPr>
              <w:t xml:space="preserve">Feat / Header</w:t>
            </w:r>
          </w:p>
        </w:tc>
        <w:tc>
          <w:tcPr>
            <w:tcW w:type="dxa" w:w="5328"/>
            <w:tcMar>
              <w:top w:type="dxa" w:w="80"/>
              <w:left w:type="dxa" w:w="100"/>
              <w:bottom w:type="dxa" w:w="80"/>
              <w:right w:type="dxa" w:w="100"/>
            </w:tcMar>
          </w:tcPr>
          <w:p>
            <w:r>
              <w:rPr>
                <w:b w:val="false"/>
                <w:bCs w:val="false"/>
                <w:sz w:val="20"/>
                <w:szCs w:val="20"/>
              </w:rPr>
              <w:t xml:space="preserve">The CP-purchased wrapper containing 1–3 Perks under one declared concept. The actual purchase unit — equivalent to one PoE node.</w:t>
            </w:r>
          </w:p>
        </w:tc>
        <w:tc>
          <w:tcPr>
            <w:tcW w:type="dxa" w:w="2592"/>
            <w:tcMar>
              <w:top w:type="dxa" w:w="80"/>
              <w:left w:type="dxa" w:w="100"/>
              <w:bottom w:type="dxa" w:w="80"/>
              <w:right w:type="dxa" w:w="100"/>
            </w:tcMar>
          </w:tcPr>
          <w:p>
            <w:r>
              <w:rPr>
                <w:b w:val="false"/>
                <w:bCs w:val="false"/>
                <w:sz w:val="20"/>
                <w:szCs w:val="20"/>
              </w:rPr>
              <w:t xml:space="preserve">Formalism defined (Unified Feat Thesis v3); only Attribute Feats and Anti Perks exist as real content</w:t>
            </w:r>
          </w:p>
        </w:tc>
      </w:tr>
      <w:tr>
        <w:tc>
          <w:tcPr>
            <w:tcW w:type="dxa" w:w="1727"/>
            <w:tcMar>
              <w:top w:type="dxa" w:w="80"/>
              <w:left w:type="dxa" w:w="100"/>
              <w:bottom w:type="dxa" w:w="80"/>
              <w:right w:type="dxa" w:w="100"/>
            </w:tcMar>
          </w:tcPr>
          <w:p>
            <w:r>
              <w:rPr>
                <w:b w:val="false"/>
                <w:bCs w:val="false"/>
                <w:sz w:val="20"/>
                <w:szCs w:val="20"/>
              </w:rPr>
              <w:t xml:space="preserve">Class</w:t>
            </w:r>
          </w:p>
        </w:tc>
        <w:tc>
          <w:tcPr>
            <w:tcW w:type="dxa" w:w="5328"/>
            <w:tcMar>
              <w:top w:type="dxa" w:w="80"/>
              <w:left w:type="dxa" w:w="100"/>
              <w:bottom w:type="dxa" w:w="80"/>
              <w:right w:type="dxa" w:w="100"/>
            </w:tcMar>
          </w:tcPr>
          <w:p>
            <w:r>
              <w:rPr>
                <w:b w:val="false"/>
                <w:bCs w:val="false"/>
                <w:sz w:val="20"/>
                <w:szCs w:val="20"/>
              </w:rPr>
              <w:t xml:space="preserve">Both an OUTPUT ("Open Class: Heavy Swordsman", reached via requirement closure) AND an INPUT with its own Insight-gated star-rank track running in parallel — see §3.3</w:t>
            </w:r>
          </w:p>
        </w:tc>
        <w:tc>
          <w:tcPr>
            <w:tcW w:type="dxa" w:w="2592"/>
            <w:tcMar>
              <w:top w:type="dxa" w:w="80"/>
              <w:left w:type="dxa" w:w="100"/>
              <w:bottom w:type="dxa" w:w="80"/>
              <w:right w:type="dxa" w:w="100"/>
            </w:tcMar>
          </w:tcPr>
          <w:p>
            <w:r>
              <w:rPr>
                <w:b w:val="false"/>
                <w:bCs w:val="false"/>
                <w:sz w:val="20"/>
                <w:szCs w:val="20"/>
              </w:rPr>
              <w:t xml:space="preserve">Named in Advanced Knowledge terminal cells; Insight/star track authored for Warrior in SpiralDemo</w:t>
            </w:r>
          </w:p>
        </w:tc>
      </w:tr>
    </w:tbl>
    <w:p>
      <w:pPr>
        <w:pBdr>
          <w:left w:val="single" w:color="999999" w:sz="12" w:space="8"/>
        </w:pBdr>
        <w:spacing w:after="200" w:before="100"/>
        <w:ind w:left="200"/>
      </w:pPr>
      <w:r>
        <w:rPr>
          <w:i/>
          <w:iCs/>
        </w:rPr>
        <w:t xml:space="preserve">BFT ("Big Feat Trait", self-progressing per-level passive) is confirmed legacy and superseded by the Feat/Header + Fusion model. It is not part of the current data model and should not be re-introduced.</w:t>
      </w:r>
    </w:p>
    <w:p>
      <w:pPr>
        <w:pStyle w:val="Heading2"/>
        <w:spacing w:after="120" w:before="260"/>
      </w:pPr>
      <w:r>
        <w:t xml:space="preserve">3.1 Requirement edges</w:t>
      </w:r>
    </w:p>
    <w:p>
      <w:pPr>
        <w:spacing w:after="160"/>
      </w:pPr>
      <w:r>
        <w:rPr>
          <w:b w:val="false"/>
          <w:bCs w:val="false"/>
          <w:i w:val="false"/>
          <w:iCs w:val="false"/>
        </w:rPr>
        <w:t xml:space="preserve">Every requires edge is typed. This set is closed — every requirement seen in the Advanced Knowledge sheets fits one of these seven types without a residual "other" bucket: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4"/>
        <w:gridCol w:w="4320"/>
        <w:gridCol w:w="3312"/>
      </w:tblGrid>
      <w:tr>
        <w:trPr>
          <w:tblHeader/>
        </w:trPr>
        <w:tc>
          <w:tcPr>
            <w:tcW w:type="dxa" w:w="2304"/>
            <w:shd w:fill="E7E6E6" w:color="auto" w:val="clear"/>
            <w:tcMar>
              <w:top w:type="dxa" w:w="80"/>
              <w:left w:type="dxa" w:w="100"/>
              <w:bottom w:type="dxa" w:w="80"/>
              <w:right w:type="dxa" w:w="100"/>
            </w:tcMar>
          </w:tcPr>
          <w:p>
            <w:r>
              <w:rPr>
                <w:b/>
                <w:bCs/>
                <w:sz w:val="20"/>
                <w:szCs w:val="20"/>
              </w:rPr>
              <w:t xml:space="preserve">Type</w:t>
            </w:r>
          </w:p>
        </w:tc>
        <w:tc>
          <w:tcPr>
            <w:tcW w:type="dxa" w:w="4320"/>
            <w:shd w:fill="E7E6E6" w:color="auto" w:val="clear"/>
            <w:tcMar>
              <w:top w:type="dxa" w:w="80"/>
              <w:left w:type="dxa" w:w="100"/>
              <w:bottom w:type="dxa" w:w="80"/>
              <w:right w:type="dxa" w:w="100"/>
            </w:tcMar>
          </w:tcPr>
          <w:p>
            <w:r>
              <w:rPr>
                <w:b/>
                <w:bCs/>
                <w:sz w:val="20"/>
                <w:szCs w:val="20"/>
              </w:rPr>
              <w:t xml:space="preserve">Example</w:t>
            </w:r>
          </w:p>
        </w:tc>
        <w:tc>
          <w:tcPr>
            <w:tcW w:type="dxa" w:w="3312"/>
            <w:shd w:fill="E7E6E6" w:color="auto" w:val="clear"/>
            <w:tcMar>
              <w:top w:type="dxa" w:w="80"/>
              <w:left w:type="dxa" w:w="100"/>
              <w:bottom w:type="dxa" w:w="80"/>
              <w:right w:type="dxa" w:w="100"/>
            </w:tcMar>
          </w:tcPr>
          <w:p>
            <w:r>
              <w:rPr>
                <w:b/>
                <w:bCs/>
                <w:sz w:val="20"/>
                <w:szCs w:val="20"/>
              </w:rPr>
              <w:t xml:space="preserve">Comparator</w:t>
            </w:r>
          </w:p>
        </w:tc>
      </w:tr>
      <w:tr>
        <w:tc>
          <w:tcPr>
            <w:tcW w:type="dxa" w:w="2304"/>
            <w:tcMar>
              <w:top w:type="dxa" w:w="80"/>
              <w:left w:type="dxa" w:w="100"/>
              <w:bottom w:type="dxa" w:w="80"/>
              <w:right w:type="dxa" w:w="100"/>
            </w:tcMar>
          </w:tcPr>
          <w:p>
            <w:r>
              <w:rPr>
                <w:b w:val="false"/>
                <w:bCs w:val="false"/>
                <w:sz w:val="20"/>
                <w:szCs w:val="20"/>
              </w:rPr>
              <w:t xml:space="preserve">SKILL_LEVEL</w:t>
            </w:r>
          </w:p>
        </w:tc>
        <w:tc>
          <w:tcPr>
            <w:tcW w:type="dxa" w:w="4320"/>
            <w:tcMar>
              <w:top w:type="dxa" w:w="80"/>
              <w:left w:type="dxa" w:w="100"/>
              <w:bottom w:type="dxa" w:w="80"/>
              <w:right w:type="dxa" w:w="100"/>
            </w:tcMar>
          </w:tcPr>
          <w:p>
            <w:r>
              <w:rPr>
                <w:b w:val="false"/>
                <w:bCs w:val="false"/>
                <w:sz w:val="20"/>
                <w:szCs w:val="20"/>
              </w:rPr>
              <w:t xml:space="preserve">Heavy Weapons ≥ 9</w:t>
            </w:r>
          </w:p>
        </w:tc>
        <w:tc>
          <w:tcPr>
            <w:tcW w:type="dxa" w:w="3312"/>
            <w:tcMar>
              <w:top w:type="dxa" w:w="80"/>
              <w:left w:type="dxa" w:w="100"/>
              <w:bottom w:type="dxa" w:w="80"/>
              <w:right w:type="dxa" w:w="100"/>
            </w:tcMar>
          </w:tcPr>
          <w:p>
            <w:r>
              <w:rPr>
                <w:b w:val="false"/>
                <w:bCs w:val="false"/>
                <w:sz w:val="20"/>
                <w:szCs w:val="20"/>
              </w:rPr>
              <w:t xml:space="preserve">floor (≥)</w:t>
            </w:r>
          </w:p>
        </w:tc>
      </w:tr>
      <w:tr>
        <w:tc>
          <w:tcPr>
            <w:tcW w:type="dxa" w:w="2304"/>
            <w:tcMar>
              <w:top w:type="dxa" w:w="80"/>
              <w:left w:type="dxa" w:w="100"/>
              <w:bottom w:type="dxa" w:w="80"/>
              <w:right w:type="dxa" w:w="100"/>
            </w:tcMar>
          </w:tcPr>
          <w:p>
            <w:r>
              <w:rPr>
                <w:b w:val="false"/>
                <w:bCs w:val="false"/>
                <w:sz w:val="20"/>
                <w:szCs w:val="20"/>
              </w:rPr>
              <w:t xml:space="preserve">ATTRIBUTE</w:t>
            </w:r>
          </w:p>
        </w:tc>
        <w:tc>
          <w:tcPr>
            <w:tcW w:type="dxa" w:w="4320"/>
            <w:tcMar>
              <w:top w:type="dxa" w:w="80"/>
              <w:left w:type="dxa" w:w="100"/>
              <w:bottom w:type="dxa" w:w="80"/>
              <w:right w:type="dxa" w:w="100"/>
            </w:tcMar>
          </w:tcPr>
          <w:p>
            <w:r>
              <w:rPr>
                <w:b w:val="false"/>
                <w:bCs w:val="false"/>
                <w:sz w:val="20"/>
                <w:szCs w:val="20"/>
              </w:rPr>
              <w:t xml:space="preserve">Strength ≥ 300</w:t>
            </w:r>
          </w:p>
        </w:tc>
        <w:tc>
          <w:tcPr>
            <w:tcW w:type="dxa" w:w="3312"/>
            <w:tcMar>
              <w:top w:type="dxa" w:w="80"/>
              <w:left w:type="dxa" w:w="100"/>
              <w:bottom w:type="dxa" w:w="80"/>
              <w:right w:type="dxa" w:w="100"/>
            </w:tcMar>
          </w:tcPr>
          <w:p>
            <w:r>
              <w:rPr>
                <w:b w:val="false"/>
                <w:bCs w:val="false"/>
                <w:sz w:val="20"/>
                <w:szCs w:val="20"/>
              </w:rPr>
              <w:t xml:space="preserve">floor (≥)</w:t>
            </w:r>
          </w:p>
        </w:tc>
      </w:tr>
      <w:tr>
        <w:tc>
          <w:tcPr>
            <w:tcW w:type="dxa" w:w="2304"/>
            <w:tcMar>
              <w:top w:type="dxa" w:w="80"/>
              <w:left w:type="dxa" w:w="100"/>
              <w:bottom w:type="dxa" w:w="80"/>
              <w:right w:type="dxa" w:w="100"/>
            </w:tcMar>
          </w:tcPr>
          <w:p>
            <w:r>
              <w:rPr>
                <w:b w:val="false"/>
                <w:bCs w:val="false"/>
                <w:sz w:val="20"/>
                <w:szCs w:val="20"/>
              </w:rPr>
              <w:t xml:space="preserve">ATTRIBUTE_CEILING</w:t>
            </w:r>
          </w:p>
        </w:tc>
        <w:tc>
          <w:tcPr>
            <w:tcW w:type="dxa" w:w="4320"/>
            <w:tcMar>
              <w:top w:type="dxa" w:w="80"/>
              <w:left w:type="dxa" w:w="100"/>
              <w:bottom w:type="dxa" w:w="80"/>
              <w:right w:type="dxa" w:w="100"/>
            </w:tcMar>
          </w:tcPr>
          <w:p>
            <w:r>
              <w:rPr>
                <w:b w:val="false"/>
                <w:bCs w:val="false"/>
                <w:sz w:val="20"/>
                <w:szCs w:val="20"/>
              </w:rPr>
              <w:t xml:space="preserve">Strength ≤ 100 (Anti Perks only)</w:t>
            </w:r>
          </w:p>
        </w:tc>
        <w:tc>
          <w:tcPr>
            <w:tcW w:type="dxa" w:w="3312"/>
            <w:tcMar>
              <w:top w:type="dxa" w:w="80"/>
              <w:left w:type="dxa" w:w="100"/>
              <w:bottom w:type="dxa" w:w="80"/>
              <w:right w:type="dxa" w:w="100"/>
            </w:tcMar>
          </w:tcPr>
          <w:p>
            <w:r>
              <w:rPr>
                <w:b w:val="false"/>
                <w:bCs w:val="false"/>
                <w:sz w:val="20"/>
                <w:szCs w:val="20"/>
              </w:rPr>
              <w:t xml:space="preserve">ceiling (≤) — see §8</w:t>
            </w:r>
          </w:p>
        </w:tc>
      </w:tr>
      <w:tr>
        <w:tc>
          <w:tcPr>
            <w:tcW w:type="dxa" w:w="2304"/>
            <w:tcMar>
              <w:top w:type="dxa" w:w="80"/>
              <w:left w:type="dxa" w:w="100"/>
              <w:bottom w:type="dxa" w:w="80"/>
              <w:right w:type="dxa" w:w="100"/>
            </w:tcMar>
          </w:tcPr>
          <w:p>
            <w:r>
              <w:rPr>
                <w:b w:val="false"/>
                <w:bCs w:val="false"/>
                <w:sz w:val="20"/>
                <w:szCs w:val="20"/>
              </w:rPr>
              <w:t xml:space="preserve">VERB</w:t>
            </w:r>
          </w:p>
        </w:tc>
        <w:tc>
          <w:tcPr>
            <w:tcW w:type="dxa" w:w="4320"/>
            <w:tcMar>
              <w:top w:type="dxa" w:w="80"/>
              <w:left w:type="dxa" w:w="100"/>
              <w:bottom w:type="dxa" w:w="80"/>
              <w:right w:type="dxa" w:w="100"/>
            </w:tcMar>
          </w:tcPr>
          <w:p>
            <w:r>
              <w:rPr>
                <w:b w:val="false"/>
                <w:bCs w:val="false"/>
                <w:sz w:val="20"/>
                <w:szCs w:val="20"/>
              </w:rPr>
              <w:t xml:space="preserve">Limb Strength contributes</w:t>
            </w:r>
          </w:p>
        </w:tc>
        <w:tc>
          <w:tcPr>
            <w:tcW w:type="dxa" w:w="3312"/>
            <w:tcMar>
              <w:top w:type="dxa" w:w="80"/>
              <w:left w:type="dxa" w:w="100"/>
              <w:bottom w:type="dxa" w:w="80"/>
              <w:right w:type="dxa" w:w="100"/>
            </w:tcMar>
          </w:tcPr>
          <w:p>
            <w:r>
              <w:rPr>
                <w:b w:val="false"/>
                <w:bCs w:val="false"/>
                <w:sz w:val="20"/>
                <w:szCs w:val="20"/>
              </w:rPr>
              <w:t xml:space="preserve">floor (≥), sub-attribute level</w:t>
            </w:r>
          </w:p>
        </w:tc>
      </w:tr>
      <w:tr>
        <w:tc>
          <w:tcPr>
            <w:tcW w:type="dxa" w:w="2304"/>
            <w:tcMar>
              <w:top w:type="dxa" w:w="80"/>
              <w:left w:type="dxa" w:w="100"/>
              <w:bottom w:type="dxa" w:w="80"/>
              <w:right w:type="dxa" w:w="100"/>
            </w:tcMar>
          </w:tcPr>
          <w:p>
            <w:r>
              <w:rPr>
                <w:b w:val="false"/>
                <w:bCs w:val="false"/>
                <w:sz w:val="20"/>
                <w:szCs w:val="20"/>
              </w:rPr>
              <w:t xml:space="preserve">TRAIT</w:t>
            </w:r>
          </w:p>
        </w:tc>
        <w:tc>
          <w:tcPr>
            <w:tcW w:type="dxa" w:w="4320"/>
            <w:tcMar>
              <w:top w:type="dxa" w:w="80"/>
              <w:left w:type="dxa" w:w="100"/>
              <w:bottom w:type="dxa" w:w="80"/>
              <w:right w:type="dxa" w:w="100"/>
            </w:tcMar>
          </w:tcPr>
          <w:p>
            <w:r>
              <w:rPr>
                <w:b w:val="false"/>
                <w:bCs w:val="false"/>
                <w:sz w:val="20"/>
                <w:szCs w:val="20"/>
              </w:rPr>
              <w:t xml:space="preserve">possesses Trait X</w:t>
            </w:r>
          </w:p>
        </w:tc>
        <w:tc>
          <w:tcPr>
            <w:tcW w:type="dxa" w:w="3312"/>
            <w:tcMar>
              <w:top w:type="dxa" w:w="80"/>
              <w:left w:type="dxa" w:w="100"/>
              <w:bottom w:type="dxa" w:w="80"/>
              <w:right w:type="dxa" w:w="100"/>
            </w:tcMar>
          </w:tcPr>
          <w:p>
            <w:r>
              <w:rPr>
                <w:b w:val="false"/>
                <w:bCs w:val="false"/>
                <w:sz w:val="20"/>
                <w:szCs w:val="20"/>
              </w:rPr>
              <w:t xml:space="preserve">boolean</w:t>
            </w:r>
          </w:p>
        </w:tc>
      </w:tr>
      <w:tr>
        <w:tc>
          <w:tcPr>
            <w:tcW w:type="dxa" w:w="2304"/>
            <w:tcMar>
              <w:top w:type="dxa" w:w="80"/>
              <w:left w:type="dxa" w:w="100"/>
              <w:bottom w:type="dxa" w:w="80"/>
              <w:right w:type="dxa" w:w="100"/>
            </w:tcMar>
          </w:tcPr>
          <w:p>
            <w:r>
              <w:rPr>
                <w:b w:val="false"/>
                <w:bCs w:val="false"/>
                <w:sz w:val="20"/>
                <w:szCs w:val="20"/>
              </w:rPr>
              <w:t xml:space="preserve">PRIOR_NODE</w:t>
            </w:r>
          </w:p>
        </w:tc>
        <w:tc>
          <w:tcPr>
            <w:tcW w:type="dxa" w:w="4320"/>
            <w:tcMar>
              <w:top w:type="dxa" w:w="80"/>
              <w:left w:type="dxa" w:w="100"/>
              <w:bottom w:type="dxa" w:w="80"/>
              <w:right w:type="dxa" w:w="100"/>
            </w:tcMar>
          </w:tcPr>
          <w:p>
            <w:r>
              <w:rPr>
                <w:b w:val="false"/>
                <w:bCs w:val="false"/>
                <w:sz w:val="20"/>
                <w:szCs w:val="20"/>
              </w:rPr>
              <w:t xml:space="preserve">owns Feat/Perk/Specialization Y</w:t>
            </w:r>
          </w:p>
        </w:tc>
        <w:tc>
          <w:tcPr>
            <w:tcW w:type="dxa" w:w="3312"/>
            <w:tcMar>
              <w:top w:type="dxa" w:w="80"/>
              <w:left w:type="dxa" w:w="100"/>
              <w:bottom w:type="dxa" w:w="80"/>
              <w:right w:type="dxa" w:w="100"/>
            </w:tcMar>
          </w:tcPr>
          <w:p>
            <w:r>
              <w:rPr>
                <w:b w:val="false"/>
                <w:bCs w:val="false"/>
                <w:sz w:val="20"/>
                <w:szCs w:val="20"/>
              </w:rPr>
              <w:t xml:space="preserve">boolean, or count for “any 2 of” style gates</w:t>
            </w:r>
          </w:p>
        </w:tc>
      </w:tr>
      <w:tr>
        <w:tc>
          <w:tcPr>
            <w:tcW w:type="dxa" w:w="2304"/>
            <w:tcMar>
              <w:top w:type="dxa" w:w="80"/>
              <w:left w:type="dxa" w:w="100"/>
              <w:bottom w:type="dxa" w:w="80"/>
              <w:right w:type="dxa" w:w="100"/>
            </w:tcMar>
          </w:tcPr>
          <w:p>
            <w:r>
              <w:rPr>
                <w:b w:val="false"/>
                <w:bCs w:val="false"/>
                <w:sz w:val="20"/>
                <w:szCs w:val="20"/>
              </w:rPr>
              <w:t xml:space="preserve">CLASS / CLASS_TIER</w:t>
            </w:r>
          </w:p>
        </w:tc>
        <w:tc>
          <w:tcPr>
            <w:tcW w:type="dxa" w:w="4320"/>
            <w:tcMar>
              <w:top w:type="dxa" w:w="80"/>
              <w:left w:type="dxa" w:w="100"/>
              <w:bottom w:type="dxa" w:w="80"/>
              <w:right w:type="dxa" w:w="100"/>
            </w:tcMar>
          </w:tcPr>
          <w:p>
            <w:r>
              <w:rPr>
                <w:b w:val="false"/>
                <w:bCs w:val="false"/>
                <w:sz w:val="20"/>
                <w:szCs w:val="20"/>
              </w:rPr>
              <w:t xml:space="preserve">Class = Knight, tier ≥ Advanced</w:t>
            </w:r>
          </w:p>
        </w:tc>
        <w:tc>
          <w:tcPr>
            <w:tcW w:type="dxa" w:w="3312"/>
            <w:tcMar>
              <w:top w:type="dxa" w:w="80"/>
              <w:left w:type="dxa" w:w="100"/>
              <w:bottom w:type="dxa" w:w="80"/>
              <w:right w:type="dxa" w:w="100"/>
            </w:tcMar>
          </w:tcPr>
          <w:p>
            <w:r>
              <w:rPr>
                <w:b w:val="false"/>
                <w:bCs w:val="false"/>
                <w:sz w:val="20"/>
                <w:szCs w:val="20"/>
              </w:rPr>
              <w:t xml:space="preserve">floor (≥) / boolean</w:t>
            </w:r>
          </w:p>
        </w:tc>
      </w:tr>
    </w:tbl>
    <w:p>
      <w:pPr>
        <w:spacing w:after="160"/>
      </w:pPr>
      <w:r>
        <w:rPr>
          <w:b w:val="false"/>
          <w:bCs w:val="false"/>
          <w:i w:val="false"/>
          <w:iCs w:val="false"/>
        </w:rPr>
        <w:t xml:space="preserve">Access-rarity (see the legacy 7/8/9 mapping in §9.3) is not a separate field — it is read off gate depth plus Source route. A shallow-gated, trainer-or-guild-purchasable node is common; a deep-gated, class-locked node is rare, with no additional mechanic required.</w:t>
      </w:r>
    </w:p>
    <w:p>
      <w:pPr>
        <w:pStyle w:val="Heading2"/>
        <w:spacing w:after="120" w:before="260"/>
      </w:pPr>
      <w:r>
        <w:t xml:space="preserve">3.2 Trait as a cap-raising Source</w:t>
      </w:r>
    </w:p>
    <w:p>
      <w:pPr>
        <w:spacing w:after="160"/>
      </w:pPr>
      <w:r>
        <w:rPr>
          <w:b w:val="false"/>
          <w:bCs w:val="false"/>
          <w:i w:val="false"/>
          <w:iCs w:val="false"/>
        </w:rPr>
        <w:t xml:space="preserve">A Skill's normal level cap (10/25/40/50) and the Advanced Knowledge branches reachable at each cap are gated by an ordinary Source (trainer, tome, guild). Some branches sit behind a Trait acting as that Source instead — and where they do, the Trait is not a convenience, it is the only door. A Warrior who picks up Mana Discipline through ordinary means caps at Lifestyle Magic; without Elemental Affinity as a Trait, the Wind Elemental Mana branch is not slower to reach, it is unreachable at any level. This is the mechanical backbone of the Magic Archer example in the Unified Feat Thesis: the archer's Wind Arrow doctrine cannot exist without the Trait, no matter how much Mana Discipline is invested.</w:t>
      </w:r>
    </w:p>
    <w:tbl>
      <w:tblPr>
        <w:tblW w:type="dxa" w:w="9935"/>
        <w:tblBorders>
          <w:top w:val="single" w:color="auto" w:sz="4"/>
          <w:left w:val="single" w:color="auto" w:sz="4"/>
          <w:bottom w:val="single" w:color="auto" w:sz="4"/>
          <w:right w:val="single" w:color="auto" w:sz="4"/>
          <w:insideH w:val="single" w:color="auto" w:sz="4"/>
          <w:insideV w:val="single" w:color="auto" w:sz="4"/>
        </w:tblBorders>
      </w:tblPr>
      <w:tblGrid>
        <w:gridCol w:w="2735"/>
        <w:gridCol w:w="7200"/>
      </w:tblGrid>
      <w:tr>
        <w:trPr>
          <w:tblHeader/>
        </w:trPr>
        <w:tc>
          <w:tcPr>
            <w:tcW w:type="dxa" w:w="2735"/>
            <w:shd w:fill="E7E6E6" w:color="auto" w:val="clear"/>
            <w:tcMar>
              <w:top w:type="dxa" w:w="80"/>
              <w:left w:type="dxa" w:w="100"/>
              <w:bottom w:type="dxa" w:w="80"/>
              <w:right w:type="dxa" w:w="100"/>
            </w:tcMar>
          </w:tcPr>
          <w:p>
            <w:r>
              <w:rPr>
                <w:b/>
                <w:bCs/>
                <w:sz w:val="20"/>
                <w:szCs w:val="20"/>
              </w:rPr>
              <w:t xml:space="preserve">Element</w:t>
            </w:r>
          </w:p>
        </w:tc>
        <w:tc>
          <w:tcPr>
            <w:tcW w:type="dxa" w:w="7200"/>
            <w:shd w:fill="E7E6E6" w:color="auto" w:val="clear"/>
            <w:tcMar>
              <w:top w:type="dxa" w:w="80"/>
              <w:left w:type="dxa" w:w="100"/>
              <w:bottom w:type="dxa" w:w="80"/>
              <w:right w:type="dxa" w:w="100"/>
            </w:tcMar>
          </w:tcPr>
          <w:p>
            <w:r>
              <w:rPr>
                <w:b/>
                <w:bCs/>
                <w:sz w:val="20"/>
                <w:szCs w:val="20"/>
              </w:rPr>
              <w:t xml:space="preserve">Rule</w:t>
            </w:r>
          </w:p>
        </w:tc>
      </w:tr>
      <w:tr>
        <w:tc>
          <w:tcPr>
            <w:tcW w:type="dxa" w:w="2735"/>
            <w:tcMar>
              <w:top w:type="dxa" w:w="80"/>
              <w:left w:type="dxa" w:w="100"/>
              <w:bottom w:type="dxa" w:w="80"/>
              <w:right w:type="dxa" w:w="100"/>
            </w:tcMar>
          </w:tcPr>
          <w:p>
            <w:r>
              <w:rPr>
                <w:b w:val="false"/>
                <w:bCs w:val="false"/>
                <w:sz w:val="20"/>
                <w:szCs w:val="20"/>
              </w:rPr>
              <w:t xml:space="preserve">Ordinary Source</w:t>
            </w:r>
          </w:p>
        </w:tc>
        <w:tc>
          <w:tcPr>
            <w:tcW w:type="dxa" w:w="7200"/>
            <w:tcMar>
              <w:top w:type="dxa" w:w="80"/>
              <w:left w:type="dxa" w:w="100"/>
              <w:bottom w:type="dxa" w:w="80"/>
              <w:right w:type="dxa" w:w="100"/>
            </w:tcMar>
          </w:tcPr>
          <w:p>
            <w:r>
              <w:rPr>
                <w:b w:val="false"/>
                <w:bCs w:val="false"/>
                <w:sz w:val="20"/>
                <w:szCs w:val="20"/>
              </w:rPr>
              <w:t xml:space="preserve">trainer / tome / guild — priced in XP, available to any character who can pay and qualifies on level</w:t>
            </w:r>
          </w:p>
        </w:tc>
      </w:tr>
      <w:tr>
        <w:tc>
          <w:tcPr>
            <w:tcW w:type="dxa" w:w="2735"/>
            <w:tcMar>
              <w:top w:type="dxa" w:w="80"/>
              <w:left w:type="dxa" w:w="100"/>
              <w:bottom w:type="dxa" w:w="80"/>
              <w:right w:type="dxa" w:w="100"/>
            </w:tcMar>
          </w:tcPr>
          <w:p>
            <w:r>
              <w:rPr>
                <w:b w:val="false"/>
                <w:bCs w:val="false"/>
                <w:sz w:val="20"/>
                <w:szCs w:val="20"/>
              </w:rPr>
              <w:t xml:space="preserve">Trait-as-Source</w:t>
            </w:r>
          </w:p>
        </w:tc>
        <w:tc>
          <w:tcPr>
            <w:tcW w:type="dxa" w:w="7200"/>
            <w:tcMar>
              <w:top w:type="dxa" w:w="80"/>
              <w:left w:type="dxa" w:w="100"/>
              <w:bottom w:type="dxa" w:w="80"/>
              <w:right w:type="dxa" w:w="100"/>
            </w:tcMar>
          </w:tcPr>
          <w:p>
            <w:r>
              <w:rPr>
                <w:b w:val="false"/>
                <w:bCs w:val="false"/>
                <w:sz w:val="20"/>
                <w:szCs w:val="20"/>
              </w:rPr>
              <w:t xml:space="preserve">the Trait itself is the unlock; no XP purchase substitutes for owning it</w:t>
            </w:r>
          </w:p>
        </w:tc>
      </w:tr>
      <w:tr>
        <w:tc>
          <w:tcPr>
            <w:tcW w:type="dxa" w:w="2735"/>
            <w:tcMar>
              <w:top w:type="dxa" w:w="80"/>
              <w:left w:type="dxa" w:w="100"/>
              <w:bottom w:type="dxa" w:w="80"/>
              <w:right w:type="dxa" w:w="100"/>
            </w:tcMar>
          </w:tcPr>
          <w:p>
            <w:r>
              <w:rPr>
                <w:b w:val="false"/>
                <w:bCs w:val="false"/>
                <w:sz w:val="20"/>
                <w:szCs w:val="20"/>
              </w:rPr>
              <w:t xml:space="preserve">Effect</w:t>
            </w:r>
          </w:p>
        </w:tc>
        <w:tc>
          <w:tcPr>
            <w:tcW w:type="dxa" w:w="7200"/>
            <w:tcMar>
              <w:top w:type="dxa" w:w="80"/>
              <w:left w:type="dxa" w:w="100"/>
              <w:bottom w:type="dxa" w:w="80"/>
              <w:right w:type="dxa" w:w="100"/>
            </w:tcMar>
          </w:tcPr>
          <w:p>
            <w:r>
              <w:rPr>
                <w:b w:val="false"/>
                <w:bCs w:val="false"/>
                <w:sz w:val="20"/>
                <w:szCs w:val="20"/>
              </w:rPr>
              <w:t xml:space="preserve">raises which Advanced Knowledge branch is reachable at a given cap tier by roughly one to two tiers beyond the character's ordinary access — not a speed bonus, a hard branch gate</w:t>
            </w:r>
          </w:p>
        </w:tc>
      </w:tr>
      <w:tr>
        <w:tc>
          <w:tcPr>
            <w:tcW w:type="dxa" w:w="2735"/>
            <w:tcMar>
              <w:top w:type="dxa" w:w="80"/>
              <w:left w:type="dxa" w:w="100"/>
              <w:bottom w:type="dxa" w:w="80"/>
              <w:right w:type="dxa" w:w="100"/>
            </w:tcMar>
          </w:tcPr>
          <w:p>
            <w:r>
              <w:rPr>
                <w:b w:val="false"/>
                <w:bCs w:val="false"/>
                <w:sz w:val="20"/>
                <w:szCs w:val="20"/>
              </w:rPr>
              <w:t xml:space="preserve">Schema consequence</w:t>
            </w:r>
          </w:p>
        </w:tc>
        <w:tc>
          <w:tcPr>
            <w:tcW w:type="dxa" w:w="7200"/>
            <w:tcMar>
              <w:top w:type="dxa" w:w="80"/>
              <w:left w:type="dxa" w:w="100"/>
              <w:bottom w:type="dxa" w:w="80"/>
              <w:right w:type="dxa" w:w="100"/>
            </w:tcMar>
          </w:tcPr>
          <w:p>
            <w:r>
              <w:rPr>
                <w:b w:val="false"/>
                <w:bCs w:val="false"/>
                <w:sz w:val="20"/>
                <w:szCs w:val="20"/>
              </w:rPr>
              <w:t xml:space="preserve">Source is not always external. Source.type must include TRAIT alongside TRAINER / TOME / GUILD / CLASS, and an Advanced Knowledge node may declare more than one Source option, each unlocking a different downstream branch from the same level milestone</w:t>
            </w:r>
          </w:p>
        </w:tc>
      </w:tr>
    </w:tbl>
    <w:p>
      <w:pPr>
        <w:pBdr>
          <w:left w:val="single" w:color="999999" w:sz="12" w:space="8"/>
        </w:pBdr>
        <w:spacing w:after="200" w:before="100"/>
        <w:ind w:left="200"/>
      </w:pPr>
      <w:r>
        <w:rPr>
          <w:i/>
          <w:iCs/>
        </w:rPr>
        <w:t xml:space="preserve">Consequence for the builder: two Advanced Knowledge branches can sit at the identical level milestone as mutually exclusive alternatives (Lifestyle Magic vs. Wind Elemental Mana at Mana Discipline 10), each gated by a different Source. The UI must render the Trait-gated option as visibly locked with its Trait requirement named, not simply omitted, so a player understands what they'd need rather than why the branch is missing.</w:t>
      </w:r>
    </w:p>
    <w:p>
      <w:pPr>
        <w:pStyle w:val="Heading2"/>
        <w:spacing w:after="120" w:before="260"/>
      </w:pPr>
      <w:r>
        <w:t xml:space="preserve">3.3 Class is both an output and an input — the Insight track</w:t>
      </w:r>
    </w:p>
    <w:p>
      <w:pPr>
        <w:spacing w:after="160"/>
      </w:pPr>
      <w:r>
        <w:rPr>
          <w:b w:val="false"/>
          <w:bCs w:val="false"/>
          <w:i w:val="false"/>
          <w:iCs w:val="false"/>
        </w:rPr>
        <w:t xml:space="preserve">v0.1 treated Class purely as an output reached by satisfying a requirement closure. SpiralDemo's Hoja 2 / Copia de Hoja 2 sheets show Class is also an input with its own progression track, run in parallel to the ordinary Skill/CP graph, gated by a derived stat called Insight rather than by CP.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48"/>
        <w:gridCol w:w="7488"/>
      </w:tblGrid>
      <w:tr>
        <w:trPr>
          <w:tblHeader/>
        </w:trPr>
        <w:tc>
          <w:tcPr>
            <w:tcW w:type="dxa" w:w="2448"/>
            <w:shd w:fill="E7E6E6" w:color="auto" w:val="clear"/>
            <w:tcMar>
              <w:top w:type="dxa" w:w="80"/>
              <w:left w:type="dxa" w:w="100"/>
              <w:bottom w:type="dxa" w:w="80"/>
              <w:right w:type="dxa" w:w="100"/>
            </w:tcMar>
          </w:tcPr>
          <w:p>
            <w:r>
              <w:rPr>
                <w:b/>
                <w:bCs/>
                <w:sz w:val="20"/>
                <w:szCs w:val="20"/>
              </w:rPr>
              <w:t xml:space="preserve">Element</w:t>
            </w:r>
          </w:p>
        </w:tc>
        <w:tc>
          <w:tcPr>
            <w:tcW w:type="dxa" w:w="7488"/>
            <w:shd w:fill="E7E6E6" w:color="auto" w:val="clear"/>
            <w:tcMar>
              <w:top w:type="dxa" w:w="80"/>
              <w:left w:type="dxa" w:w="100"/>
              <w:bottom w:type="dxa" w:w="80"/>
              <w:right w:type="dxa" w:w="100"/>
            </w:tcMar>
          </w:tcPr>
          <w:p>
            <w:r>
              <w:rPr>
                <w:b/>
                <w:bCs/>
                <w:sz w:val="20"/>
                <w:szCs w:val="20"/>
              </w:rPr>
              <w:t xml:space="preserve">Rule</w:t>
            </w:r>
          </w:p>
        </w:tc>
      </w:tr>
      <w:tr>
        <w:tc>
          <w:tcPr>
            <w:tcW w:type="dxa" w:w="2448"/>
            <w:tcMar>
              <w:top w:type="dxa" w:w="80"/>
              <w:left w:type="dxa" w:w="100"/>
              <w:bottom w:type="dxa" w:w="80"/>
              <w:right w:type="dxa" w:w="100"/>
            </w:tcMar>
          </w:tcPr>
          <w:p>
            <w:r>
              <w:rPr>
                <w:b w:val="false"/>
                <w:bCs w:val="false"/>
                <w:sz w:val="20"/>
                <w:szCs w:val="20"/>
              </w:rPr>
              <w:t xml:space="preserve">Insight</w:t>
            </w:r>
          </w:p>
        </w:tc>
        <w:tc>
          <w:tcPr>
            <w:tcW w:type="dxa" w:w="7488"/>
            <w:tcMar>
              <w:top w:type="dxa" w:w="80"/>
              <w:left w:type="dxa" w:w="100"/>
              <w:bottom w:type="dxa" w:w="80"/>
              <w:right w:type="dxa" w:w="100"/>
            </w:tcMar>
          </w:tcPr>
          <w:p>
            <w:r>
              <w:rPr>
                <w:b w:val="false"/>
                <w:bCs w:val="false"/>
                <w:sz w:val="20"/>
                <w:szCs w:val="20"/>
              </w:rPr>
              <w:t xml:space="preserve">Sum of levels across every Skill aligned to the Class, plus flat bonuses at aligned-Attribute breakpoints (Warrior: Melee Weapons + Armor + Discipline + Battle + Athletics levels, +bonus at STR 250 and STR 350). Accrues automatically; never spent.</w:t>
            </w:r>
          </w:p>
        </w:tc>
      </w:tr>
      <w:tr>
        <w:tc>
          <w:tcPr>
            <w:tcW w:type="dxa" w:w="2448"/>
            <w:tcMar>
              <w:top w:type="dxa" w:w="80"/>
              <w:left w:type="dxa" w:w="100"/>
              <w:bottom w:type="dxa" w:w="80"/>
              <w:right w:type="dxa" w:w="100"/>
            </w:tcMar>
          </w:tcPr>
          <w:p>
            <w:r>
              <w:rPr>
                <w:b w:val="false"/>
                <w:bCs w:val="false"/>
                <w:sz w:val="20"/>
                <w:szCs w:val="20"/>
              </w:rPr>
              <w:t xml:space="preserve">Star rank</w:t>
            </w:r>
          </w:p>
        </w:tc>
        <w:tc>
          <w:tcPr>
            <w:tcW w:type="dxa" w:w="7488"/>
            <w:tcMar>
              <w:top w:type="dxa" w:w="80"/>
              <w:left w:type="dxa" w:w="100"/>
              <w:bottom w:type="dxa" w:w="80"/>
              <w:right w:type="dxa" w:w="100"/>
            </w:tcMar>
          </w:tcPr>
          <w:p>
            <w:r>
              <w:rPr>
                <w:b w:val="false"/>
                <w:bCs w:val="false"/>
                <w:sz w:val="20"/>
                <w:szCs w:val="20"/>
              </w:rPr>
              <w:t xml:space="preserve">Insight thresholds gate five tiers per Class (0–star / Entry through 4–star), each tier forking into two parallel paths at slightly different Insight cost</w:t>
            </w:r>
          </w:p>
        </w:tc>
      </w:tr>
      <w:tr>
        <w:tc>
          <w:tcPr>
            <w:tcW w:type="dxa" w:w="2448"/>
            <w:tcMar>
              <w:top w:type="dxa" w:w="80"/>
              <w:left w:type="dxa" w:w="100"/>
              <w:bottom w:type="dxa" w:w="80"/>
              <w:right w:type="dxa" w:w="100"/>
            </w:tcMar>
          </w:tcPr>
          <w:p>
            <w:r>
              <w:rPr>
                <w:b w:val="false"/>
                <w:bCs w:val="false"/>
                <w:sz w:val="20"/>
                <w:szCs w:val="20"/>
              </w:rPr>
              <w:t xml:space="preserve">Generalist path</w:t>
            </w:r>
          </w:p>
        </w:tc>
        <w:tc>
          <w:tcPr>
            <w:tcW w:type="dxa" w:w="7488"/>
            <w:tcMar>
              <w:top w:type="dxa" w:w="80"/>
              <w:left w:type="dxa" w:w="100"/>
              <w:bottom w:type="dxa" w:w="80"/>
              <w:right w:type="dxa" w:w="100"/>
            </w:tcMar>
          </w:tcPr>
          <w:p>
            <w:r>
              <w:rPr>
                <w:b w:val="false"/>
                <w:bCs w:val="false"/>
                <w:sz w:val="20"/>
                <w:szCs w:val="20"/>
              </w:rPr>
              <w:t xml:space="preserve">Unlocks a numbered Unlock Line — a pool of eligible content the player can draw from, not a single fixed grant</w:t>
            </w:r>
          </w:p>
        </w:tc>
      </w:tr>
      <w:tr>
        <w:tc>
          <w:tcPr>
            <w:tcW w:type="dxa" w:w="2448"/>
            <w:tcMar>
              <w:top w:type="dxa" w:w="80"/>
              <w:left w:type="dxa" w:w="100"/>
              <w:bottom w:type="dxa" w:w="80"/>
              <w:right w:type="dxa" w:w="100"/>
            </w:tcMar>
          </w:tcPr>
          <w:p>
            <w:r>
              <w:rPr>
                <w:b w:val="false"/>
                <w:bCs w:val="false"/>
                <w:sz w:val="20"/>
                <w:szCs w:val="20"/>
              </w:rPr>
              <w:t xml:space="preserve">Specialist path</w:t>
            </w:r>
          </w:p>
        </w:tc>
        <w:tc>
          <w:tcPr>
            <w:tcW w:type="dxa" w:w="7488"/>
            <w:tcMar>
              <w:top w:type="dxa" w:w="80"/>
              <w:left w:type="dxa" w:w="100"/>
              <w:bottom w:type="dxa" w:w="80"/>
              <w:right w:type="dxa" w:w="100"/>
            </w:tcMar>
          </w:tcPr>
          <w:p>
            <w:r>
              <w:rPr>
                <w:b w:val="false"/>
                <w:bCs w:val="false"/>
                <w:sz w:val="20"/>
                <w:szCs w:val="20"/>
              </w:rPr>
              <w:t xml:space="preserve">Unlocks a named sub-class outright (Warrior 1-star specialist: Swordsman / Barbarian / Soldier; 3-star: Duelist / Viking / Justiciar, etc.) — narrower scope, deeper payoff</w:t>
            </w:r>
          </w:p>
        </w:tc>
      </w:tr>
      <w:tr>
        <w:tc>
          <w:tcPr>
            <w:tcW w:type="dxa" w:w="2448"/>
            <w:tcMar>
              <w:top w:type="dxa" w:w="80"/>
              <w:left w:type="dxa" w:w="100"/>
              <w:bottom w:type="dxa" w:w="80"/>
              <w:right w:type="dxa" w:w="100"/>
            </w:tcMar>
          </w:tcPr>
          <w:p>
            <w:r>
              <w:rPr>
                <w:b w:val="false"/>
                <w:bCs w:val="false"/>
                <w:sz w:val="20"/>
                <w:szCs w:val="20"/>
              </w:rPr>
              <w:t xml:space="preserve">Keystone</w:t>
            </w:r>
          </w:p>
        </w:tc>
        <w:tc>
          <w:tcPr>
            <w:tcW w:type="dxa" w:w="7488"/>
            <w:tcMar>
              <w:top w:type="dxa" w:w="80"/>
              <w:left w:type="dxa" w:w="100"/>
              <w:bottom w:type="dxa" w:w="80"/>
              <w:right w:type="dxa" w:w="100"/>
            </w:tcMar>
          </w:tcPr>
          <w:p>
            <w:r>
              <w:rPr>
                <w:b w:val="false"/>
                <w:bCs w:val="false"/>
                <w:sz w:val="20"/>
                <w:szCs w:val="20"/>
              </w:rPr>
              <w:t xml:space="preserve">A capstone passive per branch (Weapon Focus Keystone, Ironskin Keystone, Anti-Monster Keystone) — the class-track equivalent of a Fusion, reached by Insight instead of CP + prerequisite chain</w:t>
            </w:r>
          </w:p>
        </w:tc>
      </w:tr>
    </w:tbl>
    <w:p>
      <w:pPr>
        <w:spacing w:after="160"/>
      </w:pPr>
      <w:r>
        <w:rPr>
          <w:b w:val="false"/>
          <w:bCs w:val="false"/>
          <w:i w:val="false"/>
          <w:iCs w:val="false"/>
        </w:rPr>
        <w:t xml:space="preserve">Schema consequence: Class needs its own record shape, not a Feat variant — {aligned_skills[], aligned_attribute_breakpoints[], tiers: [{insight_generalist, insight_specialist, level_range, generalist_grant: LINE | KEYSTONE, specialist_grant: subclass_name}]}. Line unlocks and Keystones are distinct node subtypes from ordinary Perks/Feats: a Line is a pool reference, not a single effect, and a Keystone can require nodes from more than one Skill cluster at once (SpiralDemo's Pack Coordination Keystone requires both Battle Lv 10 AND Warrior Tier 0 simultaneously).</w:t>
      </w:r>
    </w:p>
    <w:p>
      <w:pPr>
        <w:pBdr>
          <w:left w:val="single" w:color="999999" w:sz="12" w:space="8"/>
        </w:pBdr>
        <w:spacing w:after="200" w:before="100"/>
        <w:ind w:left="200"/>
      </w:pPr>
      <w:r>
        <w:rPr>
          <w:i/>
          <w:iCs/>
        </w:rPr>
        <w:t xml:space="preserve">Data note: Hoja 2's perk content in the G18:H138 range is confirmed legacy BFT (self-progressing per-level passives from the discarded old model) and is not usable as authored content. Only the surrounding Class/Insight/star structure above is current; BFT titles may be kept as potential future Feat names, nothing else.</w:t>
      </w:r>
    </w:p>
    <w:p>
      <w:pPr>
        <w:pStyle w:val="Heading1"/>
        <w:spacing w:after="160" w:before="320"/>
      </w:pPr>
      <w:r>
        <w:t xml:space="preserve">4. Roll and success resolution</w:t>
      </w:r>
    </w:p>
    <w:p>
      <w:pPr>
        <w:spacing w:after="160"/>
      </w:pPr>
      <w:r>
        <w:rPr>
          <w:b w:val="false"/>
          <w:bCs w:val="false"/>
          <w:i w:val="false"/>
          <w:iCs w:val="false"/>
        </w:rPr>
        <w:t xml:space="preserve">This layer governs whether an action succeeds and how well — it sits underneath Perks and is not itself modified by them (see §6.4 for the exclusion this implies).</w:t>
      </w:r>
    </w:p>
    <w:p>
      <w:pPr>
        <w:pStyle w:val="Heading2"/>
        <w:spacing w:after="120" w:before="260"/>
      </w:pPr>
      <w:r>
        <w:t xml:space="preserve">4.1 Dice</w:t>
      </w:r>
    </w:p>
    <w:tbl>
      <w:tblPr>
        <w:tblW w:type="dxa" w:w="9935"/>
        <w:tblBorders>
          <w:top w:val="single" w:color="auto" w:sz="4"/>
          <w:left w:val="single" w:color="auto" w:sz="4"/>
          <w:bottom w:val="single" w:color="auto" w:sz="4"/>
          <w:right w:val="single" w:color="auto" w:sz="4"/>
          <w:insideH w:val="single" w:color="auto" w:sz="4"/>
          <w:insideV w:val="single" w:color="auto" w:sz="4"/>
        </w:tblBorders>
      </w:tblPr>
      <w:tblGrid>
        <w:gridCol w:w="2735"/>
        <w:gridCol w:w="7200"/>
      </w:tblGrid>
      <w:tr>
        <w:trPr>
          <w:tblHeader/>
        </w:trPr>
        <w:tc>
          <w:tcPr>
            <w:tcW w:type="dxa" w:w="2735"/>
            <w:shd w:fill="E7E6E6" w:color="auto" w:val="clear"/>
            <w:tcMar>
              <w:top w:type="dxa" w:w="80"/>
              <w:left w:type="dxa" w:w="100"/>
              <w:bottom w:type="dxa" w:w="80"/>
              <w:right w:type="dxa" w:w="100"/>
            </w:tcMar>
          </w:tcPr>
          <w:p>
            <w:r>
              <w:rPr>
                <w:b/>
                <w:bCs/>
                <w:sz w:val="20"/>
                <w:szCs w:val="20"/>
              </w:rPr>
              <w:t xml:space="preserve">Element</w:t>
            </w:r>
          </w:p>
        </w:tc>
        <w:tc>
          <w:tcPr>
            <w:tcW w:type="dxa" w:w="7200"/>
            <w:shd w:fill="E7E6E6" w:color="auto" w:val="clear"/>
            <w:tcMar>
              <w:top w:type="dxa" w:w="80"/>
              <w:left w:type="dxa" w:w="100"/>
              <w:bottom w:type="dxa" w:w="80"/>
              <w:right w:type="dxa" w:w="100"/>
            </w:tcMar>
          </w:tcPr>
          <w:p>
            <w:r>
              <w:rPr>
                <w:b/>
                <w:bCs/>
                <w:sz w:val="20"/>
                <w:szCs w:val="20"/>
              </w:rPr>
              <w:t xml:space="preserve">Rule</w:t>
            </w:r>
          </w:p>
        </w:tc>
      </w:tr>
      <w:tr>
        <w:tc>
          <w:tcPr>
            <w:tcW w:type="dxa" w:w="2735"/>
            <w:tcMar>
              <w:top w:type="dxa" w:w="80"/>
              <w:left w:type="dxa" w:w="100"/>
              <w:bottom w:type="dxa" w:w="80"/>
              <w:right w:type="dxa" w:w="100"/>
            </w:tcMar>
          </w:tcPr>
          <w:p>
            <w:r>
              <w:rPr>
                <w:b w:val="false"/>
                <w:bCs w:val="false"/>
                <w:sz w:val="20"/>
                <w:szCs w:val="20"/>
              </w:rPr>
              <w:t xml:space="preserve">Base mechanic</w:t>
            </w:r>
          </w:p>
        </w:tc>
        <w:tc>
          <w:tcPr>
            <w:tcW w:type="dxa" w:w="7200"/>
            <w:tcMar>
              <w:top w:type="dxa" w:w="80"/>
              <w:left w:type="dxa" w:w="100"/>
              <w:bottom w:type="dxa" w:w="80"/>
              <w:right w:type="dxa" w:w="100"/>
            </w:tcMar>
          </w:tcPr>
          <w:p>
            <w:r>
              <w:rPr>
                <w:b w:val="false"/>
                <w:bCs w:val="false"/>
                <w:sz w:val="20"/>
                <w:szCs w:val="20"/>
              </w:rPr>
              <w:t xml:space="preserve">Roll and Keep, exploding on 10 (roll a 10, keep it, roll again, add), per die</w:t>
            </w:r>
          </w:p>
        </w:tc>
      </w:tr>
      <w:tr>
        <w:tc>
          <w:tcPr>
            <w:tcW w:type="dxa" w:w="2735"/>
            <w:tcMar>
              <w:top w:type="dxa" w:w="80"/>
              <w:left w:type="dxa" w:w="100"/>
              <w:bottom w:type="dxa" w:w="80"/>
              <w:right w:type="dxa" w:w="100"/>
            </w:tcMar>
          </w:tcPr>
          <w:p>
            <w:r>
              <w:rPr>
                <w:b w:val="false"/>
                <w:bCs w:val="false"/>
                <w:sz w:val="20"/>
                <w:szCs w:val="20"/>
              </w:rPr>
              <w:t xml:space="preserve">Dice pool source</w:t>
            </w:r>
          </w:p>
        </w:tc>
        <w:tc>
          <w:tcPr>
            <w:tcW w:type="dxa" w:w="7200"/>
            <w:tcMar>
              <w:top w:type="dxa" w:w="80"/>
              <w:left w:type="dxa" w:w="100"/>
              <w:bottom w:type="dxa" w:w="80"/>
              <w:right w:type="dxa" w:w="100"/>
            </w:tcMar>
          </w:tcPr>
          <w:p>
            <w:r>
              <w:rPr>
                <w:b w:val="false"/>
                <w:bCs w:val="false"/>
                <w:sz w:val="20"/>
                <w:szCs w:val="20"/>
              </w:rPr>
              <w:t xml:space="preserve">Attribute score ÷ 100, rounded down (e.g. AGI 400 → 4 dice)</w:t>
            </w:r>
          </w:p>
        </w:tc>
      </w:tr>
      <w:tr>
        <w:tc>
          <w:tcPr>
            <w:tcW w:type="dxa" w:w="2735"/>
            <w:tcMar>
              <w:top w:type="dxa" w:w="80"/>
              <w:left w:type="dxa" w:w="100"/>
              <w:bottom w:type="dxa" w:w="80"/>
              <w:right w:type="dxa" w:w="100"/>
            </w:tcMar>
          </w:tcPr>
          <w:p>
            <w:r>
              <w:rPr>
                <w:b w:val="false"/>
                <w:bCs w:val="false"/>
                <w:sz w:val="20"/>
                <w:szCs w:val="20"/>
              </w:rPr>
              <w:t xml:space="preserve">Kept dice</w:t>
            </w:r>
          </w:p>
        </w:tc>
        <w:tc>
          <w:tcPr>
            <w:tcW w:type="dxa" w:w="7200"/>
            <w:tcMar>
              <w:top w:type="dxa" w:w="80"/>
              <w:left w:type="dxa" w:w="100"/>
              <w:bottom w:type="dxa" w:w="80"/>
              <w:right w:type="dxa" w:w="100"/>
            </w:tcMar>
          </w:tcPr>
          <w:p>
            <w:r>
              <w:rPr>
                <w:b w:val="false"/>
                <w:bCs w:val="false"/>
                <w:sz w:val="20"/>
                <w:szCs w:val="20"/>
              </w:rPr>
              <w:t xml:space="preserve">Set by Skill; an untrained roll keeps a small fixed number, at most</w:t>
            </w:r>
          </w:p>
        </w:tc>
      </w:tr>
      <w:tr>
        <w:tc>
          <w:tcPr>
            <w:tcW w:type="dxa" w:w="2735"/>
            <w:tcMar>
              <w:top w:type="dxa" w:w="80"/>
              <w:left w:type="dxa" w:w="100"/>
              <w:bottom w:type="dxa" w:w="80"/>
              <w:right w:type="dxa" w:w="100"/>
            </w:tcMar>
          </w:tcPr>
          <w:p>
            <w:r>
              <w:rPr>
                <w:b w:val="false"/>
                <w:bCs w:val="false"/>
                <w:sz w:val="20"/>
                <w:szCs w:val="20"/>
              </w:rPr>
              <w:t xml:space="preserve">Actions vs. raw attribute rolls</w:t>
            </w:r>
          </w:p>
        </w:tc>
        <w:tc>
          <w:tcPr>
            <w:tcW w:type="dxa" w:w="7200"/>
            <w:tcMar>
              <w:top w:type="dxa" w:w="80"/>
              <w:left w:type="dxa" w:w="100"/>
              <w:bottom w:type="dxa" w:w="80"/>
              <w:right w:type="dxa" w:w="100"/>
            </w:tcMar>
          </w:tcPr>
          <w:p>
            <w:r>
              <w:rPr>
                <w:b w:val="false"/>
                <w:bCs w:val="false"/>
                <w:sz w:val="20"/>
                <w:szCs w:val="20"/>
              </w:rPr>
              <w:t xml:space="preserve">Only a Skill's defined Action may explode dice or declare a Raise. A non-Skill-holder (or a being with high raw attributes but no training, e.g. an Ogre) rolls flat, cannot explode, and cannot raise.</w:t>
            </w:r>
          </w:p>
        </w:tc>
      </w:tr>
      <w:tr>
        <w:tc>
          <w:tcPr>
            <w:tcW w:type="dxa" w:w="2735"/>
            <w:tcMar>
              <w:top w:type="dxa" w:w="80"/>
              <w:left w:type="dxa" w:w="100"/>
              <w:bottom w:type="dxa" w:w="80"/>
              <w:right w:type="dxa" w:w="100"/>
            </w:tcMar>
          </w:tcPr>
          <w:p>
            <w:r>
              <w:rPr>
                <w:b w:val="false"/>
                <w:bCs w:val="false"/>
                <w:sz w:val="20"/>
                <w:szCs w:val="20"/>
              </w:rPr>
              <w:t xml:space="preserve">Raises</w:t>
            </w:r>
          </w:p>
        </w:tc>
        <w:tc>
          <w:tcPr>
            <w:tcW w:type="dxa" w:w="7200"/>
            <w:tcMar>
              <w:top w:type="dxa" w:w="80"/>
              <w:left w:type="dxa" w:w="100"/>
              <w:bottom w:type="dxa" w:w="80"/>
              <w:right w:type="dxa" w:w="100"/>
            </w:tcMar>
          </w:tcPr>
          <w:p>
            <w:r>
              <w:rPr>
                <w:b w:val="false"/>
                <w:bCs w:val="false"/>
                <w:sz w:val="20"/>
                <w:szCs w:val="20"/>
              </w:rPr>
              <w:t xml:space="preserve">Player declares increased difficulty in exchange for an enhanced/called-shot result, available only within an owned Action</w:t>
            </w:r>
          </w:p>
        </w:tc>
      </w:tr>
    </w:tbl>
    <w:p>
      <w:pPr>
        <w:pBdr>
          <w:left w:val="single" w:color="999999" w:sz="12" w:space="8"/>
        </w:pBdr>
        <w:spacing w:after="200" w:before="100"/>
        <w:ind w:left="200"/>
      </w:pPr>
      <w:r>
        <w:rPr>
          <w:i/>
          <w:iCs/>
        </w:rPr>
        <w:t xml:space="preserve">CONFIRMED as of v0.2 — the real dice/gate/TN table exists (SpiralDemo, Hoja 1) and is reproduced in §4.2. Values above Skill level 50 remain ⚠ OPEN. Perks must not touch this layer regardless of its final numbers — see §6.4.</w:t>
      </w:r>
    </w:p>
    <w:p>
      <w:pPr>
        <w:pStyle w:val="Heading2"/>
        <w:spacing w:after="120" w:before="260"/>
      </w:pPr>
      <w:r>
        <w:t xml:space="preserve">4.2 Success bands — CONFIRMED against real data (SpiralDemo, Hoja 1)</w:t>
      </w:r>
    </w:p>
    <w:p>
      <w:pPr>
        <w:spacing w:after="160"/>
      </w:pPr>
      <w:r>
        <w:rPr>
          <w:b w:val="false"/>
          <w:bCs w:val="false"/>
          <w:i w:val="false"/>
          <w:iCs w:val="false"/>
        </w:rPr>
        <w:t xml:space="preserve">Rolls are not pass/fail. A result lands in one of several qualitative bands: Success, Great, Epic, Heroic (Legendary/Transcendent exist beyond level 50, not covered by the authored table). At most four are tracked simultaneously in the source data; three or fewer are typically live for a given character.</w:t>
      </w:r>
    </w:p>
    <w:p>
      <w:pPr>
        <w:spacing w:after="160"/>
      </w:pPr>
      <w:r>
        <w:rPr>
          <w:b w:val="false"/>
          <w:bCs w:val="false"/>
          <w:i w:val="false"/>
          <w:iCs w:val="false"/>
        </w:rPr>
        <w:t xml:space="preserve">The v0.1 savepoint derived a band table from a single worked example, without a real source. SpiralDemo's Hoja 1 sheet is the actual authored table, level 1–50, and it both confirms and corrects that derivation: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40"/>
        <w:gridCol w:w="1296"/>
        <w:gridCol w:w="1296"/>
        <w:gridCol w:w="1296"/>
        <w:gridCol w:w="1296"/>
        <w:gridCol w:w="3312"/>
      </w:tblGrid>
      <w:tr>
        <w:trPr>
          <w:tblHeader/>
        </w:trPr>
        <w:tc>
          <w:tcPr>
            <w:tcW w:type="dxa" w:w="1440"/>
            <w:shd w:fill="E7E6E6" w:color="auto" w:val="clear"/>
            <w:tcMar>
              <w:top w:type="dxa" w:w="80"/>
              <w:left w:type="dxa" w:w="100"/>
              <w:bottom w:type="dxa" w:w="80"/>
              <w:right w:type="dxa" w:w="100"/>
            </w:tcMar>
          </w:tcPr>
          <w:p>
            <w:r>
              <w:rPr>
                <w:b/>
                <w:bCs/>
                <w:sz w:val="20"/>
                <w:szCs w:val="20"/>
              </w:rPr>
              <w:t xml:space="preserve">Skill level</w:t>
            </w:r>
          </w:p>
        </w:tc>
        <w:tc>
          <w:tcPr>
            <w:tcW w:type="dxa" w:w="1296"/>
            <w:shd w:fill="E7E6E6" w:color="auto" w:val="clear"/>
            <w:tcMar>
              <w:top w:type="dxa" w:w="80"/>
              <w:left w:type="dxa" w:w="100"/>
              <w:bottom w:type="dxa" w:w="80"/>
              <w:right w:type="dxa" w:w="100"/>
            </w:tcMar>
          </w:tcPr>
          <w:p>
            <w:r>
              <w:rPr>
                <w:b/>
                <w:bCs/>
                <w:sz w:val="20"/>
                <w:szCs w:val="20"/>
              </w:rPr>
              <w:t xml:space="preserve">Success</w:t>
            </w:r>
          </w:p>
        </w:tc>
        <w:tc>
          <w:tcPr>
            <w:tcW w:type="dxa" w:w="1296"/>
            <w:shd w:fill="E7E6E6" w:color="auto" w:val="clear"/>
            <w:tcMar>
              <w:top w:type="dxa" w:w="80"/>
              <w:left w:type="dxa" w:w="100"/>
              <w:bottom w:type="dxa" w:w="80"/>
              <w:right w:type="dxa" w:w="100"/>
            </w:tcMar>
          </w:tcPr>
          <w:p>
            <w:r>
              <w:rPr>
                <w:b/>
                <w:bCs/>
                <w:sz w:val="20"/>
                <w:szCs w:val="20"/>
              </w:rPr>
              <w:t xml:space="preserve">Great</w:t>
            </w:r>
          </w:p>
        </w:tc>
        <w:tc>
          <w:tcPr>
            <w:tcW w:type="dxa" w:w="1296"/>
            <w:shd w:fill="E7E6E6" w:color="auto" w:val="clear"/>
            <w:tcMar>
              <w:top w:type="dxa" w:w="80"/>
              <w:left w:type="dxa" w:w="100"/>
              <w:bottom w:type="dxa" w:w="80"/>
              <w:right w:type="dxa" w:w="100"/>
            </w:tcMar>
          </w:tcPr>
          <w:p>
            <w:r>
              <w:rPr>
                <w:b/>
                <w:bCs/>
                <w:sz w:val="20"/>
                <w:szCs w:val="20"/>
              </w:rPr>
              <w:t xml:space="preserve">Epic</w:t>
            </w:r>
          </w:p>
        </w:tc>
        <w:tc>
          <w:tcPr>
            <w:tcW w:type="dxa" w:w="1296"/>
            <w:shd w:fill="E7E6E6" w:color="auto" w:val="clear"/>
            <w:tcMar>
              <w:top w:type="dxa" w:w="80"/>
              <w:left w:type="dxa" w:w="100"/>
              <w:bottom w:type="dxa" w:w="80"/>
              <w:right w:type="dxa" w:w="100"/>
            </w:tcMar>
          </w:tcPr>
          <w:p>
            <w:r>
              <w:rPr>
                <w:b/>
                <w:bCs/>
                <w:sz w:val="20"/>
                <w:szCs w:val="20"/>
              </w:rPr>
              <w:t xml:space="preserve">Heroic</w:t>
            </w:r>
          </w:p>
        </w:tc>
        <w:tc>
          <w:tcPr>
            <w:tcW w:type="dxa" w:w="3312"/>
            <w:shd w:fill="E7E6E6" w:color="auto" w:val="clear"/>
            <w:tcMar>
              <w:top w:type="dxa" w:w="80"/>
              <w:left w:type="dxa" w:w="100"/>
              <w:bottom w:type="dxa" w:w="80"/>
              <w:right w:type="dxa" w:w="100"/>
            </w:tcMar>
          </w:tcPr>
          <w:p>
            <w:r>
              <w:rPr>
                <w:b/>
                <w:bCs/>
                <w:sz w:val="20"/>
                <w:szCs w:val="20"/>
              </w:rPr>
              <w:t xml:space="preserve">Milestone</w:t>
            </w:r>
          </w:p>
        </w:tc>
      </w:tr>
      <w:tr>
        <w:tc>
          <w:tcPr>
            <w:tcW w:type="dxa" w:w="1440"/>
            <w:tcMar>
              <w:top w:type="dxa" w:w="80"/>
              <w:left w:type="dxa" w:w="100"/>
              <w:bottom w:type="dxa" w:w="80"/>
              <w:right w:type="dxa" w:w="100"/>
            </w:tcMar>
          </w:tcPr>
          <w:p>
            <w:r>
              <w:rPr>
                <w:b w:val="false"/>
                <w:bCs w:val="false"/>
                <w:sz w:val="20"/>
                <w:szCs w:val="20"/>
              </w:rPr>
              <w:t xml:space="preserve">1</w:t>
            </w:r>
          </w:p>
        </w:tc>
        <w:tc>
          <w:tcPr>
            <w:tcW w:type="dxa" w:w="1296"/>
            <w:tcMar>
              <w:top w:type="dxa" w:w="80"/>
              <w:left w:type="dxa" w:w="100"/>
              <w:bottom w:type="dxa" w:w="80"/>
              <w:right w:type="dxa" w:w="100"/>
            </w:tcMar>
          </w:tcPr>
          <w:p>
            <w:r>
              <w:rPr>
                <w:b w:val="false"/>
                <w:bCs w:val="false"/>
                <w:sz w:val="20"/>
                <w:szCs w:val="20"/>
              </w:rPr>
              <w:t xml:space="preserve">15</w:t>
            </w:r>
          </w:p>
        </w:tc>
        <w:tc>
          <w:tcPr>
            <w:tcW w:type="dxa" w:w="1296"/>
            <w:tcMar>
              <w:top w:type="dxa" w:w="80"/>
              <w:left w:type="dxa" w:w="100"/>
              <w:bottom w:type="dxa" w:w="80"/>
              <w:right w:type="dxa" w:w="100"/>
            </w:tcMar>
          </w:tcPr>
          <w:p>
            <w:r>
              <w:rPr>
                <w:b w:val="false"/>
                <w:bCs w:val="false"/>
                <w:sz w:val="20"/>
                <w:szCs w:val="20"/>
              </w:rPr>
              <w:t xml:space="preserve">40</w:t>
            </w:r>
          </w:p>
        </w:tc>
        <w:tc>
          <w:tcPr>
            <w:tcW w:type="dxa" w:w="1296"/>
            <w:tcMar>
              <w:top w:type="dxa" w:w="80"/>
              <w:left w:type="dxa" w:w="100"/>
              <w:bottom w:type="dxa" w:w="80"/>
              <w:right w:type="dxa" w:w="100"/>
            </w:tcMar>
          </w:tcPr>
          <w:p>
            <w:r>
              <w:rPr>
                <w:b w:val="false"/>
                <w:bCs w:val="false"/>
                <w:sz w:val="20"/>
                <w:szCs w:val="20"/>
              </w:rPr>
              <w:t xml:space="preserve">—</w:t>
            </w:r>
          </w:p>
        </w:tc>
        <w:tc>
          <w:tcPr>
            <w:tcW w:type="dxa" w:w="1296"/>
            <w:tcMar>
              <w:top w:type="dxa" w:w="80"/>
              <w:left w:type="dxa" w:w="100"/>
              <w:bottom w:type="dxa" w:w="80"/>
              <w:right w:type="dxa" w:w="100"/>
            </w:tcMar>
          </w:tcPr>
          <w:p>
            <w:r>
              <w:rPr>
                <w:b w:val="false"/>
                <w:bCs w:val="false"/>
                <w:sz w:val="20"/>
                <w:szCs w:val="20"/>
              </w:rPr>
              <w:t xml:space="preserve">—</w:t>
            </w:r>
          </w:p>
        </w:tc>
        <w:tc>
          <w:tcPr>
            <w:tcW w:type="dxa" w:w="3312"/>
            <w:tcMar>
              <w:top w:type="dxa" w:w="80"/>
              <w:left w:type="dxa" w:w="100"/>
              <w:bottom w:type="dxa" w:w="80"/>
              <w:right w:type="dxa" w:w="100"/>
            </w:tcMar>
          </w:tcPr>
          <w:p>
            <w:r>
              <w:rPr>
                <w:b w:val="false"/>
                <w:bCs w:val="false"/>
                <w:sz w:val="20"/>
                <w:szCs w:val="20"/>
              </w:rPr>
              <w:t xml:space="preserve">explode 10s</w:t>
            </w:r>
          </w:p>
        </w:tc>
      </w:tr>
      <w:tr>
        <w:tc>
          <w:tcPr>
            <w:tcW w:type="dxa" w:w="1440"/>
            <w:tcMar>
              <w:top w:type="dxa" w:w="80"/>
              <w:left w:type="dxa" w:w="100"/>
              <w:bottom w:type="dxa" w:w="80"/>
              <w:right w:type="dxa" w:w="100"/>
            </w:tcMar>
          </w:tcPr>
          <w:p>
            <w:r>
              <w:rPr>
                <w:b w:val="false"/>
                <w:bCs w:val="false"/>
                <w:sz w:val="20"/>
                <w:szCs w:val="20"/>
              </w:rPr>
              <w:t xml:space="preserve">10</w:t>
            </w:r>
          </w:p>
        </w:tc>
        <w:tc>
          <w:tcPr>
            <w:tcW w:type="dxa" w:w="1296"/>
            <w:tcMar>
              <w:top w:type="dxa" w:w="80"/>
              <w:left w:type="dxa" w:w="100"/>
              <w:bottom w:type="dxa" w:w="80"/>
              <w:right w:type="dxa" w:w="100"/>
            </w:tcMar>
          </w:tcPr>
          <w:p>
            <w:r>
              <w:rPr>
                <w:b w:val="false"/>
                <w:bCs w:val="false"/>
                <w:sz w:val="20"/>
                <w:szCs w:val="20"/>
              </w:rPr>
              <w:t xml:space="preserve">10</w:t>
            </w:r>
          </w:p>
        </w:tc>
        <w:tc>
          <w:tcPr>
            <w:tcW w:type="dxa" w:w="1296"/>
            <w:tcMar>
              <w:top w:type="dxa" w:w="80"/>
              <w:left w:type="dxa" w:w="100"/>
              <w:bottom w:type="dxa" w:w="80"/>
              <w:right w:type="dxa" w:w="100"/>
            </w:tcMar>
          </w:tcPr>
          <w:p>
            <w:r>
              <w:rPr>
                <w:b w:val="false"/>
                <w:bCs w:val="false"/>
                <w:sz w:val="20"/>
                <w:szCs w:val="20"/>
              </w:rPr>
              <w:t xml:space="preserve">31</w:t>
            </w:r>
          </w:p>
        </w:tc>
        <w:tc>
          <w:tcPr>
            <w:tcW w:type="dxa" w:w="1296"/>
            <w:tcMar>
              <w:top w:type="dxa" w:w="80"/>
              <w:left w:type="dxa" w:w="100"/>
              <w:bottom w:type="dxa" w:w="80"/>
              <w:right w:type="dxa" w:w="100"/>
            </w:tcMar>
          </w:tcPr>
          <w:p>
            <w:r>
              <w:rPr>
                <w:b w:val="false"/>
                <w:bCs w:val="false"/>
                <w:sz w:val="20"/>
                <w:szCs w:val="20"/>
              </w:rPr>
              <w:t xml:space="preserve">—</w:t>
            </w:r>
          </w:p>
        </w:tc>
        <w:tc>
          <w:tcPr>
            <w:tcW w:type="dxa" w:w="1296"/>
            <w:tcMar>
              <w:top w:type="dxa" w:w="80"/>
              <w:left w:type="dxa" w:w="100"/>
              <w:bottom w:type="dxa" w:w="80"/>
              <w:right w:type="dxa" w:w="100"/>
            </w:tcMar>
          </w:tcPr>
          <w:p>
            <w:r>
              <w:rPr>
                <w:b w:val="false"/>
                <w:bCs w:val="false"/>
                <w:sz w:val="20"/>
                <w:szCs w:val="20"/>
              </w:rPr>
              <w:t xml:space="preserve">—</w:t>
            </w:r>
          </w:p>
        </w:tc>
        <w:tc>
          <w:tcPr>
            <w:tcW w:type="dxa" w:w="3312"/>
            <w:tcMar>
              <w:top w:type="dxa" w:w="80"/>
              <w:left w:type="dxa" w:w="100"/>
              <w:bottom w:type="dxa" w:w="80"/>
              <w:right w:type="dxa" w:w="100"/>
            </w:tcMar>
          </w:tcPr>
          <w:p>
            <w:r>
              <w:rPr>
                <w:b w:val="false"/>
                <w:bCs w:val="false"/>
                <w:sz w:val="20"/>
                <w:szCs w:val="20"/>
              </w:rPr>
              <w:t xml:space="preserve">Domini (−5 CP), Core cap</w:t>
            </w:r>
          </w:p>
        </w:tc>
      </w:tr>
      <w:tr>
        <w:tc>
          <w:tcPr>
            <w:tcW w:type="dxa" w:w="1440"/>
            <w:tcMar>
              <w:top w:type="dxa" w:w="80"/>
              <w:left w:type="dxa" w:w="100"/>
              <w:bottom w:type="dxa" w:w="80"/>
              <w:right w:type="dxa" w:w="100"/>
            </w:tcMar>
          </w:tcPr>
          <w:p>
            <w:r>
              <w:rPr>
                <w:b w:val="false"/>
                <w:bCs w:val="false"/>
                <w:sz w:val="20"/>
                <w:szCs w:val="20"/>
              </w:rPr>
              <w:t xml:space="preserve">11</w:t>
            </w:r>
          </w:p>
        </w:tc>
        <w:tc>
          <w:tcPr>
            <w:tcW w:type="dxa" w:w="1296"/>
            <w:tcMar>
              <w:top w:type="dxa" w:w="80"/>
              <w:left w:type="dxa" w:w="100"/>
              <w:bottom w:type="dxa" w:w="80"/>
              <w:right w:type="dxa" w:w="100"/>
            </w:tcMar>
          </w:tcPr>
          <w:p>
            <w:r>
              <w:rPr>
                <w:b w:val="false"/>
                <w:bCs w:val="false"/>
                <w:sz w:val="20"/>
                <w:szCs w:val="20"/>
              </w:rPr>
              <w:t xml:space="preserve">10</w:t>
            </w:r>
          </w:p>
        </w:tc>
        <w:tc>
          <w:tcPr>
            <w:tcW w:type="dxa" w:w="1296"/>
            <w:tcMar>
              <w:top w:type="dxa" w:w="80"/>
              <w:left w:type="dxa" w:w="100"/>
              <w:bottom w:type="dxa" w:w="80"/>
              <w:right w:type="dxa" w:w="100"/>
            </w:tcMar>
          </w:tcPr>
          <w:p>
            <w:r>
              <w:rPr>
                <w:b w:val="false"/>
                <w:bCs w:val="false"/>
                <w:sz w:val="20"/>
                <w:szCs w:val="20"/>
              </w:rPr>
              <w:t xml:space="preserve">30</w:t>
            </w:r>
          </w:p>
        </w:tc>
        <w:tc>
          <w:tcPr>
            <w:tcW w:type="dxa" w:w="1296"/>
            <w:tcMar>
              <w:top w:type="dxa" w:w="80"/>
              <w:left w:type="dxa" w:w="100"/>
              <w:bottom w:type="dxa" w:w="80"/>
              <w:right w:type="dxa" w:w="100"/>
            </w:tcMar>
          </w:tcPr>
          <w:p>
            <w:r>
              <w:rPr>
                <w:b w:val="false"/>
                <w:bCs w:val="false"/>
                <w:sz w:val="20"/>
                <w:szCs w:val="20"/>
              </w:rPr>
              <w:t xml:space="preserve">54</w:t>
            </w:r>
          </w:p>
        </w:tc>
        <w:tc>
          <w:tcPr>
            <w:tcW w:type="dxa" w:w="1296"/>
            <w:tcMar>
              <w:top w:type="dxa" w:w="80"/>
              <w:left w:type="dxa" w:w="100"/>
              <w:bottom w:type="dxa" w:w="80"/>
              <w:right w:type="dxa" w:w="100"/>
            </w:tcMar>
          </w:tcPr>
          <w:p>
            <w:r>
              <w:rPr>
                <w:b w:val="false"/>
                <w:bCs w:val="false"/>
                <w:sz w:val="20"/>
                <w:szCs w:val="20"/>
              </w:rPr>
              <w:t xml:space="preserve">—</w:t>
            </w:r>
          </w:p>
        </w:tc>
        <w:tc>
          <w:tcPr>
            <w:tcW w:type="dxa" w:w="3312"/>
            <w:tcMar>
              <w:top w:type="dxa" w:w="80"/>
              <w:left w:type="dxa" w:w="100"/>
              <w:bottom w:type="dxa" w:w="80"/>
              <w:right w:type="dxa" w:w="100"/>
            </w:tcMar>
          </w:tcPr>
          <w:p>
            <w:r>
              <w:rPr>
                <w:b w:val="false"/>
                <w:bCs w:val="false"/>
                <w:sz w:val="20"/>
                <w:szCs w:val="20"/>
              </w:rPr>
              <w:t xml:space="preserve">Epic unlocks; Advanced Knowledge tier begins</w:t>
            </w:r>
          </w:p>
        </w:tc>
      </w:tr>
      <w:tr>
        <w:tc>
          <w:tcPr>
            <w:tcW w:type="dxa" w:w="1440"/>
            <w:tcMar>
              <w:top w:type="dxa" w:w="80"/>
              <w:left w:type="dxa" w:w="100"/>
              <w:bottom w:type="dxa" w:w="80"/>
              <w:right w:type="dxa" w:w="100"/>
            </w:tcMar>
          </w:tcPr>
          <w:p>
            <w:r>
              <w:rPr>
                <w:b w:val="false"/>
                <w:bCs w:val="false"/>
                <w:sz w:val="20"/>
                <w:szCs w:val="20"/>
              </w:rPr>
              <w:t xml:space="preserve">19</w:t>
            </w:r>
          </w:p>
        </w:tc>
        <w:tc>
          <w:tcPr>
            <w:tcW w:type="dxa" w:w="1296"/>
            <w:tcMar>
              <w:top w:type="dxa" w:w="80"/>
              <w:left w:type="dxa" w:w="100"/>
              <w:bottom w:type="dxa" w:w="80"/>
              <w:right w:type="dxa" w:w="100"/>
            </w:tcMar>
          </w:tcPr>
          <w:p>
            <w:r>
              <w:rPr>
                <w:b w:val="false"/>
                <w:bCs w:val="false"/>
                <w:sz w:val="20"/>
                <w:szCs w:val="20"/>
              </w:rPr>
              <w:t xml:space="preserve">5 (floor)</w:t>
            </w:r>
          </w:p>
        </w:tc>
        <w:tc>
          <w:tcPr>
            <w:tcW w:type="dxa" w:w="1296"/>
            <w:tcMar>
              <w:top w:type="dxa" w:w="80"/>
              <w:left w:type="dxa" w:w="100"/>
              <w:bottom w:type="dxa" w:w="80"/>
              <w:right w:type="dxa" w:w="100"/>
            </w:tcMar>
          </w:tcPr>
          <w:p>
            <w:r>
              <w:rPr>
                <w:b w:val="false"/>
                <w:bCs w:val="false"/>
                <w:sz w:val="20"/>
                <w:szCs w:val="20"/>
              </w:rPr>
              <w:t xml:space="preserve">22</w:t>
            </w:r>
          </w:p>
        </w:tc>
        <w:tc>
          <w:tcPr>
            <w:tcW w:type="dxa" w:w="1296"/>
            <w:tcMar>
              <w:top w:type="dxa" w:w="80"/>
              <w:left w:type="dxa" w:w="100"/>
              <w:bottom w:type="dxa" w:w="80"/>
              <w:right w:type="dxa" w:w="100"/>
            </w:tcMar>
          </w:tcPr>
          <w:p>
            <w:r>
              <w:rPr>
                <w:b w:val="false"/>
                <w:bCs w:val="false"/>
                <w:sz w:val="20"/>
                <w:szCs w:val="20"/>
              </w:rPr>
              <w:t xml:space="preserve">46</w:t>
            </w:r>
          </w:p>
        </w:tc>
        <w:tc>
          <w:tcPr>
            <w:tcW w:type="dxa" w:w="1296"/>
            <w:tcMar>
              <w:top w:type="dxa" w:w="80"/>
              <w:left w:type="dxa" w:w="100"/>
              <w:bottom w:type="dxa" w:w="80"/>
              <w:right w:type="dxa" w:w="100"/>
            </w:tcMar>
          </w:tcPr>
          <w:p>
            <w:r>
              <w:rPr>
                <w:b w:val="false"/>
                <w:bCs w:val="false"/>
                <w:sz w:val="20"/>
                <w:szCs w:val="20"/>
              </w:rPr>
              <w:t xml:space="preserve">—</w:t>
            </w:r>
          </w:p>
        </w:tc>
        <w:tc>
          <w:tcPr>
            <w:tcW w:type="dxa" w:w="3312"/>
            <w:tcMar>
              <w:top w:type="dxa" w:w="80"/>
              <w:left w:type="dxa" w:w="100"/>
              <w:bottom w:type="dxa" w:w="80"/>
              <w:right w:type="dxa" w:w="100"/>
            </w:tcMar>
          </w:tcPr>
          <w:p>
            <w:r>
              <w:rPr>
                <w:b w:val="false"/>
                <w:bCs w:val="false"/>
                <w:sz w:val="20"/>
                <w:szCs w:val="20"/>
              </w:rPr>
              <w:t xml:space="preserve"/>
            </w:r>
          </w:p>
        </w:tc>
      </w:tr>
      <w:tr>
        <w:tc>
          <w:tcPr>
            <w:tcW w:type="dxa" w:w="1440"/>
            <w:tcMar>
              <w:top w:type="dxa" w:w="80"/>
              <w:left w:type="dxa" w:w="100"/>
              <w:bottom w:type="dxa" w:w="80"/>
              <w:right w:type="dxa" w:w="100"/>
            </w:tcMar>
          </w:tcPr>
          <w:p>
            <w:r>
              <w:rPr>
                <w:b w:val="false"/>
                <w:bCs w:val="false"/>
                <w:sz w:val="20"/>
                <w:szCs w:val="20"/>
              </w:rPr>
              <w:t xml:space="preserve">25</w:t>
            </w:r>
          </w:p>
        </w:tc>
        <w:tc>
          <w:tcPr>
            <w:tcW w:type="dxa" w:w="1296"/>
            <w:tcMar>
              <w:top w:type="dxa" w:w="80"/>
              <w:left w:type="dxa" w:w="100"/>
              <w:bottom w:type="dxa" w:w="80"/>
              <w:right w:type="dxa" w:w="100"/>
            </w:tcMar>
          </w:tcPr>
          <w:p>
            <w:r>
              <w:rPr>
                <w:b w:val="false"/>
                <w:bCs w:val="false"/>
                <w:sz w:val="20"/>
                <w:szCs w:val="20"/>
              </w:rPr>
              <w:t xml:space="preserve">5</w:t>
            </w:r>
          </w:p>
        </w:tc>
        <w:tc>
          <w:tcPr>
            <w:tcW w:type="dxa" w:w="1296"/>
            <w:tcMar>
              <w:top w:type="dxa" w:w="80"/>
              <w:left w:type="dxa" w:w="100"/>
              <w:bottom w:type="dxa" w:w="80"/>
              <w:right w:type="dxa" w:w="100"/>
            </w:tcMar>
          </w:tcPr>
          <w:p>
            <w:r>
              <w:rPr>
                <w:b w:val="false"/>
                <w:bCs w:val="false"/>
                <w:sz w:val="20"/>
                <w:szCs w:val="20"/>
              </w:rPr>
              <w:t xml:space="preserve">16</w:t>
            </w:r>
          </w:p>
        </w:tc>
        <w:tc>
          <w:tcPr>
            <w:tcW w:type="dxa" w:w="1296"/>
            <w:tcMar>
              <w:top w:type="dxa" w:w="80"/>
              <w:left w:type="dxa" w:w="100"/>
              <w:bottom w:type="dxa" w:w="80"/>
              <w:right w:type="dxa" w:w="100"/>
            </w:tcMar>
          </w:tcPr>
          <w:p>
            <w:r>
              <w:rPr>
                <w:b w:val="false"/>
                <w:bCs w:val="false"/>
                <w:sz w:val="20"/>
                <w:szCs w:val="20"/>
              </w:rPr>
              <w:t xml:space="preserve">40</w:t>
            </w:r>
          </w:p>
        </w:tc>
        <w:tc>
          <w:tcPr>
            <w:tcW w:type="dxa" w:w="1296"/>
            <w:tcMar>
              <w:top w:type="dxa" w:w="80"/>
              <w:left w:type="dxa" w:w="100"/>
              <w:bottom w:type="dxa" w:w="80"/>
              <w:right w:type="dxa" w:w="100"/>
            </w:tcMar>
          </w:tcPr>
          <w:p>
            <w:r>
              <w:rPr>
                <w:b w:val="false"/>
                <w:bCs w:val="false"/>
                <w:sz w:val="20"/>
                <w:szCs w:val="20"/>
              </w:rPr>
              <w:t xml:space="preserve">—</w:t>
            </w:r>
          </w:p>
        </w:tc>
        <w:tc>
          <w:tcPr>
            <w:tcW w:type="dxa" w:w="3312"/>
            <w:tcMar>
              <w:top w:type="dxa" w:w="80"/>
              <w:left w:type="dxa" w:w="100"/>
              <w:bottom w:type="dxa" w:w="80"/>
              <w:right w:type="dxa" w:w="100"/>
            </w:tcMar>
          </w:tcPr>
          <w:p>
            <w:r>
              <w:rPr>
                <w:b w:val="false"/>
                <w:bCs w:val="false"/>
                <w:sz w:val="20"/>
                <w:szCs w:val="20"/>
              </w:rPr>
              <w:t xml:space="preserve">Adept (−5 CP)</w:t>
            </w:r>
          </w:p>
        </w:tc>
      </w:tr>
      <w:tr>
        <w:tc>
          <w:tcPr>
            <w:tcW w:type="dxa" w:w="1440"/>
            <w:tcMar>
              <w:top w:type="dxa" w:w="80"/>
              <w:left w:type="dxa" w:w="100"/>
              <w:bottom w:type="dxa" w:w="80"/>
              <w:right w:type="dxa" w:w="100"/>
            </w:tcMar>
          </w:tcPr>
          <w:p>
            <w:r>
              <w:rPr>
                <w:b w:val="false"/>
                <w:bCs w:val="false"/>
                <w:sz w:val="20"/>
                <w:szCs w:val="20"/>
              </w:rPr>
              <w:t xml:space="preserve">26</w:t>
            </w:r>
          </w:p>
        </w:tc>
        <w:tc>
          <w:tcPr>
            <w:tcW w:type="dxa" w:w="1296"/>
            <w:tcMar>
              <w:top w:type="dxa" w:w="80"/>
              <w:left w:type="dxa" w:w="100"/>
              <w:bottom w:type="dxa" w:w="80"/>
              <w:right w:type="dxa" w:w="100"/>
            </w:tcMar>
          </w:tcPr>
          <w:p>
            <w:r>
              <w:rPr>
                <w:b w:val="false"/>
                <w:bCs w:val="false"/>
                <w:sz w:val="20"/>
                <w:szCs w:val="20"/>
              </w:rPr>
              <w:t xml:space="preserve">retired</w:t>
            </w:r>
          </w:p>
        </w:tc>
        <w:tc>
          <w:tcPr>
            <w:tcW w:type="dxa" w:w="1296"/>
            <w:tcMar>
              <w:top w:type="dxa" w:w="80"/>
              <w:left w:type="dxa" w:w="100"/>
              <w:bottom w:type="dxa" w:w="80"/>
              <w:right w:type="dxa" w:w="100"/>
            </w:tcMar>
          </w:tcPr>
          <w:p>
            <w:r>
              <w:rPr>
                <w:b w:val="false"/>
                <w:bCs w:val="false"/>
                <w:sz w:val="20"/>
                <w:szCs w:val="20"/>
              </w:rPr>
              <w:t xml:space="preserve">15</w:t>
            </w:r>
          </w:p>
        </w:tc>
        <w:tc>
          <w:tcPr>
            <w:tcW w:type="dxa" w:w="1296"/>
            <w:tcMar>
              <w:top w:type="dxa" w:w="80"/>
              <w:left w:type="dxa" w:w="100"/>
              <w:bottom w:type="dxa" w:w="80"/>
              <w:right w:type="dxa" w:w="100"/>
            </w:tcMar>
          </w:tcPr>
          <w:p>
            <w:r>
              <w:rPr>
                <w:b w:val="false"/>
                <w:bCs w:val="false"/>
                <w:sz w:val="20"/>
                <w:szCs w:val="20"/>
              </w:rPr>
              <w:t xml:space="preserve">39</w:t>
            </w:r>
          </w:p>
        </w:tc>
        <w:tc>
          <w:tcPr>
            <w:tcW w:type="dxa" w:w="1296"/>
            <w:tcMar>
              <w:top w:type="dxa" w:w="80"/>
              <w:left w:type="dxa" w:w="100"/>
              <w:bottom w:type="dxa" w:w="80"/>
              <w:right w:type="dxa" w:w="100"/>
            </w:tcMar>
          </w:tcPr>
          <w:p>
            <w:r>
              <w:rPr>
                <w:b w:val="false"/>
                <w:bCs w:val="false"/>
                <w:sz w:val="20"/>
                <w:szCs w:val="20"/>
              </w:rPr>
              <w:t xml:space="preserve">64</w:t>
            </w:r>
          </w:p>
        </w:tc>
        <w:tc>
          <w:tcPr>
            <w:tcW w:type="dxa" w:w="3312"/>
            <w:tcMar>
              <w:top w:type="dxa" w:w="80"/>
              <w:left w:type="dxa" w:w="100"/>
              <w:bottom w:type="dxa" w:w="80"/>
              <w:right w:type="dxa" w:w="100"/>
            </w:tcMar>
          </w:tcPr>
          <w:p>
            <w:r>
              <w:rPr>
                <w:b w:val="false"/>
                <w:bCs w:val="false"/>
                <w:sz w:val="20"/>
                <w:szCs w:val="20"/>
              </w:rPr>
              <w:t xml:space="preserve">Heroic unlocks; explode 9s; Superior Knowledge begins</w:t>
            </w:r>
          </w:p>
        </w:tc>
      </w:tr>
      <w:tr>
        <w:tc>
          <w:tcPr>
            <w:tcW w:type="dxa" w:w="1440"/>
            <w:tcMar>
              <w:top w:type="dxa" w:w="80"/>
              <w:left w:type="dxa" w:w="100"/>
              <w:bottom w:type="dxa" w:w="80"/>
              <w:right w:type="dxa" w:w="100"/>
            </w:tcMar>
          </w:tcPr>
          <w:p>
            <w:r>
              <w:rPr>
                <w:b w:val="false"/>
                <w:bCs w:val="false"/>
                <w:sz w:val="20"/>
                <w:szCs w:val="20"/>
              </w:rPr>
              <w:t xml:space="preserve">31–40</w:t>
            </w:r>
          </w:p>
        </w:tc>
        <w:tc>
          <w:tcPr>
            <w:tcW w:type="dxa" w:w="1296"/>
            <w:tcMar>
              <w:top w:type="dxa" w:w="80"/>
              <w:left w:type="dxa" w:w="100"/>
              <w:bottom w:type="dxa" w:w="80"/>
              <w:right w:type="dxa" w:w="100"/>
            </w:tcMar>
          </w:tcPr>
          <w:p>
            <w:r>
              <w:rPr>
                <w:b w:val="false"/>
                <w:bCs w:val="false"/>
                <w:sz w:val="20"/>
                <w:szCs w:val="20"/>
              </w:rPr>
              <w:t xml:space="preserve">—</w:t>
            </w:r>
          </w:p>
        </w:tc>
        <w:tc>
          <w:tcPr>
            <w:tcW w:type="dxa" w:w="1296"/>
            <w:tcMar>
              <w:top w:type="dxa" w:w="80"/>
              <w:left w:type="dxa" w:w="100"/>
              <w:bottom w:type="dxa" w:w="80"/>
              <w:right w:type="dxa" w:w="100"/>
            </w:tcMar>
          </w:tcPr>
          <w:p>
            <w:r>
              <w:rPr>
                <w:b w:val="false"/>
                <w:bCs w:val="false"/>
                <w:sz w:val="20"/>
                <w:szCs w:val="20"/>
              </w:rPr>
              <w:t xml:space="preserve">10 (plateau)</w:t>
            </w:r>
          </w:p>
        </w:tc>
        <w:tc>
          <w:tcPr>
            <w:tcW w:type="dxa" w:w="1296"/>
            <w:tcMar>
              <w:top w:type="dxa" w:w="80"/>
              <w:left w:type="dxa" w:w="100"/>
              <w:bottom w:type="dxa" w:w="80"/>
              <w:right w:type="dxa" w:w="100"/>
            </w:tcMar>
          </w:tcPr>
          <w:p>
            <w:r>
              <w:rPr>
                <w:b w:val="false"/>
                <w:bCs w:val="false"/>
                <w:sz w:val="20"/>
                <w:szCs w:val="20"/>
              </w:rPr>
              <w:t xml:space="preserve">34→25</w:t>
            </w:r>
          </w:p>
        </w:tc>
        <w:tc>
          <w:tcPr>
            <w:tcW w:type="dxa" w:w="1296"/>
            <w:tcMar>
              <w:top w:type="dxa" w:w="80"/>
              <w:left w:type="dxa" w:w="100"/>
              <w:bottom w:type="dxa" w:w="80"/>
              <w:right w:type="dxa" w:w="100"/>
            </w:tcMar>
          </w:tcPr>
          <w:p>
            <w:r>
              <w:rPr>
                <w:b w:val="false"/>
                <w:bCs w:val="false"/>
                <w:sz w:val="20"/>
                <w:szCs w:val="20"/>
              </w:rPr>
              <w:t xml:space="preserve">59→50</w:t>
            </w:r>
          </w:p>
        </w:tc>
        <w:tc>
          <w:tcPr>
            <w:tcW w:type="dxa" w:w="3312"/>
            <w:tcMar>
              <w:top w:type="dxa" w:w="80"/>
              <w:left w:type="dxa" w:w="100"/>
              <w:bottom w:type="dxa" w:w="80"/>
              <w:right w:type="dxa" w:w="100"/>
            </w:tcMar>
          </w:tcPr>
          <w:p>
            <w:r>
              <w:rPr>
                <w:b w:val="false"/>
                <w:bCs w:val="false"/>
                <w:sz w:val="20"/>
                <w:szCs w:val="20"/>
              </w:rPr>
              <w:t xml:space="preserve">Expert (−5 CP) at 40</w:t>
            </w:r>
          </w:p>
        </w:tc>
      </w:tr>
      <w:tr>
        <w:tc>
          <w:tcPr>
            <w:tcW w:type="dxa" w:w="1440"/>
            <w:tcMar>
              <w:top w:type="dxa" w:w="80"/>
              <w:left w:type="dxa" w:w="100"/>
              <w:bottom w:type="dxa" w:w="80"/>
              <w:right w:type="dxa" w:w="100"/>
            </w:tcMar>
          </w:tcPr>
          <w:p>
            <w:r>
              <w:rPr>
                <w:b w:val="false"/>
                <w:bCs w:val="false"/>
                <w:sz w:val="20"/>
                <w:szCs w:val="20"/>
              </w:rPr>
              <w:t xml:space="preserve">41</w:t>
            </w:r>
          </w:p>
        </w:tc>
        <w:tc>
          <w:tcPr>
            <w:tcW w:type="dxa" w:w="1296"/>
            <w:tcMar>
              <w:top w:type="dxa" w:w="80"/>
              <w:left w:type="dxa" w:w="100"/>
              <w:bottom w:type="dxa" w:w="80"/>
              <w:right w:type="dxa" w:w="100"/>
            </w:tcMar>
          </w:tcPr>
          <w:p>
            <w:r>
              <w:rPr>
                <w:b w:val="false"/>
                <w:bCs w:val="false"/>
                <w:sz w:val="20"/>
                <w:szCs w:val="20"/>
              </w:rPr>
              <w:t xml:space="preserve">—</w:t>
            </w:r>
          </w:p>
        </w:tc>
        <w:tc>
          <w:tcPr>
            <w:tcW w:type="dxa" w:w="1296"/>
            <w:tcMar>
              <w:top w:type="dxa" w:w="80"/>
              <w:left w:type="dxa" w:w="100"/>
              <w:bottom w:type="dxa" w:w="80"/>
              <w:right w:type="dxa" w:w="100"/>
            </w:tcMar>
          </w:tcPr>
          <w:p>
            <w:r>
              <w:rPr>
                <w:b w:val="false"/>
                <w:bCs w:val="false"/>
                <w:sz w:val="20"/>
                <w:szCs w:val="20"/>
              </w:rPr>
              <w:t xml:space="preserve">retired</w:t>
            </w:r>
          </w:p>
        </w:tc>
        <w:tc>
          <w:tcPr>
            <w:tcW w:type="dxa" w:w="1296"/>
            <w:tcMar>
              <w:top w:type="dxa" w:w="80"/>
              <w:left w:type="dxa" w:w="100"/>
              <w:bottom w:type="dxa" w:w="80"/>
              <w:right w:type="dxa" w:w="100"/>
            </w:tcMar>
          </w:tcPr>
          <w:p>
            <w:r>
              <w:rPr>
                <w:b w:val="false"/>
                <w:bCs w:val="false"/>
                <w:sz w:val="20"/>
                <w:szCs w:val="20"/>
              </w:rPr>
              <w:t xml:space="preserve">24</w:t>
            </w:r>
          </w:p>
        </w:tc>
        <w:tc>
          <w:tcPr>
            <w:tcW w:type="dxa" w:w="1296"/>
            <w:tcMar>
              <w:top w:type="dxa" w:w="80"/>
              <w:left w:type="dxa" w:w="100"/>
              <w:bottom w:type="dxa" w:w="80"/>
              <w:right w:type="dxa" w:w="100"/>
            </w:tcMar>
          </w:tcPr>
          <w:p>
            <w:r>
              <w:rPr>
                <w:b w:val="false"/>
                <w:bCs w:val="false"/>
                <w:sz w:val="20"/>
                <w:szCs w:val="20"/>
              </w:rPr>
              <w:t xml:space="preserve">49</w:t>
            </w:r>
          </w:p>
        </w:tc>
        <w:tc>
          <w:tcPr>
            <w:tcW w:type="dxa" w:w="3312"/>
            <w:tcMar>
              <w:top w:type="dxa" w:w="80"/>
              <w:left w:type="dxa" w:w="100"/>
              <w:bottom w:type="dxa" w:w="80"/>
              <w:right w:type="dxa" w:w="100"/>
            </w:tcMar>
          </w:tcPr>
          <w:p>
            <w:r>
              <w:rPr>
                <w:b w:val="false"/>
                <w:bCs w:val="false"/>
                <w:sz w:val="20"/>
                <w:szCs w:val="20"/>
              </w:rPr>
              <w:t xml:space="preserve">explode 8s; Apex Knowledge begins</w:t>
            </w:r>
          </w:p>
        </w:tc>
      </w:tr>
      <w:tr>
        <w:tc>
          <w:tcPr>
            <w:tcW w:type="dxa" w:w="1440"/>
            <w:tcMar>
              <w:top w:type="dxa" w:w="80"/>
              <w:left w:type="dxa" w:w="100"/>
              <w:bottom w:type="dxa" w:w="80"/>
              <w:right w:type="dxa" w:w="100"/>
            </w:tcMar>
          </w:tcPr>
          <w:p>
            <w:r>
              <w:rPr>
                <w:b w:val="false"/>
                <w:bCs w:val="false"/>
                <w:sz w:val="20"/>
                <w:szCs w:val="20"/>
              </w:rPr>
              <w:t xml:space="preserve">46–50</w:t>
            </w:r>
          </w:p>
        </w:tc>
        <w:tc>
          <w:tcPr>
            <w:tcW w:type="dxa" w:w="1296"/>
            <w:tcMar>
              <w:top w:type="dxa" w:w="80"/>
              <w:left w:type="dxa" w:w="100"/>
              <w:bottom w:type="dxa" w:w="80"/>
              <w:right w:type="dxa" w:w="100"/>
            </w:tcMar>
          </w:tcPr>
          <w:p>
            <w:r>
              <w:rPr>
                <w:b w:val="false"/>
                <w:bCs w:val="false"/>
                <w:sz w:val="20"/>
                <w:szCs w:val="20"/>
              </w:rPr>
              <w:t xml:space="preserve">—</w:t>
            </w:r>
          </w:p>
        </w:tc>
        <w:tc>
          <w:tcPr>
            <w:tcW w:type="dxa" w:w="1296"/>
            <w:tcMar>
              <w:top w:type="dxa" w:w="80"/>
              <w:left w:type="dxa" w:w="100"/>
              <w:bottom w:type="dxa" w:w="80"/>
              <w:right w:type="dxa" w:w="100"/>
            </w:tcMar>
          </w:tcPr>
          <w:p>
            <w:r>
              <w:rPr>
                <w:b w:val="false"/>
                <w:bCs w:val="false"/>
                <w:sz w:val="20"/>
                <w:szCs w:val="20"/>
              </w:rPr>
              <w:t xml:space="preserve">—</w:t>
            </w:r>
          </w:p>
        </w:tc>
        <w:tc>
          <w:tcPr>
            <w:tcW w:type="dxa" w:w="1296"/>
            <w:tcMar>
              <w:top w:type="dxa" w:w="80"/>
              <w:left w:type="dxa" w:w="100"/>
              <w:bottom w:type="dxa" w:w="80"/>
              <w:right w:type="dxa" w:w="100"/>
            </w:tcMar>
          </w:tcPr>
          <w:p>
            <w:r>
              <w:rPr>
                <w:b w:val="false"/>
                <w:bCs w:val="false"/>
                <w:sz w:val="20"/>
                <w:szCs w:val="20"/>
              </w:rPr>
              <w:t xml:space="preserve">5 (floor)</w:t>
            </w:r>
          </w:p>
        </w:tc>
        <w:tc>
          <w:tcPr>
            <w:tcW w:type="dxa" w:w="1296"/>
            <w:tcMar>
              <w:top w:type="dxa" w:w="80"/>
              <w:left w:type="dxa" w:w="100"/>
              <w:bottom w:type="dxa" w:w="80"/>
              <w:right w:type="dxa" w:w="100"/>
            </w:tcMar>
          </w:tcPr>
          <w:p>
            <w:r>
              <w:rPr>
                <w:b w:val="false"/>
                <w:bCs w:val="false"/>
                <w:sz w:val="20"/>
                <w:szCs w:val="20"/>
              </w:rPr>
              <w:t xml:space="preserve">15</w:t>
            </w:r>
          </w:p>
        </w:tc>
        <w:tc>
          <w:tcPr>
            <w:tcW w:type="dxa" w:w="3312"/>
            <w:tcMar>
              <w:top w:type="dxa" w:w="80"/>
              <w:left w:type="dxa" w:w="100"/>
              <w:bottom w:type="dxa" w:w="80"/>
              <w:right w:type="dxa" w:w="100"/>
            </w:tcMar>
          </w:tcPr>
          <w:p>
            <w:r>
              <w:rPr>
                <w:b w:val="false"/>
                <w:bCs w:val="false"/>
                <w:sz w:val="20"/>
                <w:szCs w:val="20"/>
              </w:rPr>
              <w:t xml:space="preserve">Mastery (−5 CP) at 50</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48"/>
        <w:gridCol w:w="7488"/>
      </w:tblGrid>
      <w:tr>
        <w:trPr>
          <w:tblHeader/>
        </w:trPr>
        <w:tc>
          <w:tcPr>
            <w:tcW w:type="dxa" w:w="2448"/>
            <w:shd w:fill="E7E6E6" w:color="auto" w:val="clear"/>
            <w:tcMar>
              <w:top w:type="dxa" w:w="80"/>
              <w:left w:type="dxa" w:w="100"/>
              <w:bottom w:type="dxa" w:w="80"/>
              <w:right w:type="dxa" w:w="100"/>
            </w:tcMar>
          </w:tcPr>
          <w:p>
            <w:r>
              <w:rPr>
                <w:b/>
                <w:bCs/>
                <w:sz w:val="20"/>
                <w:szCs w:val="20"/>
              </w:rPr>
              <w:t xml:space="preserve">Rule</w:t>
            </w:r>
          </w:p>
        </w:tc>
        <w:tc>
          <w:tcPr>
            <w:tcW w:type="dxa" w:w="7488"/>
            <w:shd w:fill="E7E6E6" w:color="auto" w:val="clear"/>
            <w:tcMar>
              <w:top w:type="dxa" w:w="80"/>
              <w:left w:type="dxa" w:w="100"/>
              <w:bottom w:type="dxa" w:w="80"/>
              <w:right w:type="dxa" w:w="100"/>
            </w:tcMar>
          </w:tcPr>
          <w:p>
            <w:r>
              <w:rPr>
                <w:b/>
                <w:bCs/>
                <w:sz w:val="20"/>
                <w:szCs w:val="20"/>
              </w:rPr>
              <w:t xml:space="preserve">Statement — CONFIRMED</w:t>
            </w:r>
          </w:p>
        </w:tc>
      </w:tr>
      <w:tr>
        <w:tc>
          <w:tcPr>
            <w:tcW w:type="dxa" w:w="2448"/>
            <w:tcMar>
              <w:top w:type="dxa" w:w="80"/>
              <w:left w:type="dxa" w:w="100"/>
              <w:bottom w:type="dxa" w:w="80"/>
              <w:right w:type="dxa" w:w="100"/>
            </w:tcMar>
          </w:tcPr>
          <w:p>
            <w:r>
              <w:rPr>
                <w:b w:val="false"/>
                <w:bCs w:val="false"/>
                <w:sz w:val="20"/>
                <w:szCs w:val="20"/>
              </w:rPr>
              <w:t xml:space="preserve">Floor</w:t>
            </w:r>
          </w:p>
        </w:tc>
        <w:tc>
          <w:tcPr>
            <w:tcW w:type="dxa" w:w="7488"/>
            <w:tcMar>
              <w:top w:type="dxa" w:w="80"/>
              <w:left w:type="dxa" w:w="100"/>
              <w:bottom w:type="dxa" w:w="80"/>
              <w:right w:type="dxa" w:w="100"/>
            </w:tcMar>
          </w:tcPr>
          <w:p>
            <w:r>
              <w:rPr>
                <w:b w:val="false"/>
                <w:bCs w:val="false"/>
                <w:sz w:val="20"/>
                <w:szCs w:val="20"/>
              </w:rPr>
              <w:t xml:space="preserve">TN never drops below 5</w:t>
            </w:r>
          </w:p>
        </w:tc>
      </w:tr>
      <w:tr>
        <w:tc>
          <w:tcPr>
            <w:tcW w:type="dxa" w:w="2448"/>
            <w:tcMar>
              <w:top w:type="dxa" w:w="80"/>
              <w:left w:type="dxa" w:w="100"/>
              <w:bottom w:type="dxa" w:w="80"/>
              <w:right w:type="dxa" w:w="100"/>
            </w:tcMar>
          </w:tcPr>
          <w:p>
            <w:r>
              <w:rPr>
                <w:b w:val="false"/>
                <w:bCs w:val="false"/>
                <w:sz w:val="20"/>
                <w:szCs w:val="20"/>
              </w:rPr>
              <w:t xml:space="preserve">Retirement trigger</w:t>
            </w:r>
          </w:p>
        </w:tc>
        <w:tc>
          <w:tcPr>
            <w:tcW w:type="dxa" w:w="7488"/>
            <w:tcMar>
              <w:top w:type="dxa" w:w="80"/>
              <w:left w:type="dxa" w:w="100"/>
              <w:bottom w:type="dxa" w:w="80"/>
              <w:right w:type="dxa" w:w="100"/>
            </w:tcMar>
          </w:tcPr>
          <w:p>
            <w:r>
              <w:rPr>
                <w:b w:val="false"/>
                <w:bCs w:val="false"/>
                <w:sz w:val="20"/>
                <w:szCs w:val="20"/>
              </w:rPr>
              <w:t xml:space="preserve">A band retires exactly when the Skill crosses into the next Knowledge tier (Core→Advanced at 11, Advanced→Superior at 26, Superior→Apex at 41) — NOT a fixed level-count after reaching the floor. This corrects the v0.1 “≈ 5 levels after floor” guess: the true dwell length varies (Success dwelt 7 levels; Great dwelt ~10).</w:t>
            </w:r>
          </w:p>
        </w:tc>
      </w:tr>
      <w:tr>
        <w:tc>
          <w:tcPr>
            <w:tcW w:type="dxa" w:w="2448"/>
            <w:tcMar>
              <w:top w:type="dxa" w:w="80"/>
              <w:left w:type="dxa" w:w="100"/>
              <w:bottom w:type="dxa" w:w="80"/>
              <w:right w:type="dxa" w:w="100"/>
            </w:tcMar>
          </w:tcPr>
          <w:p>
            <w:r>
              <w:rPr>
                <w:b w:val="false"/>
                <w:bCs w:val="false"/>
                <w:sz w:val="20"/>
                <w:szCs w:val="20"/>
              </w:rPr>
              <w:t xml:space="preserve">Coupled milestones</w:t>
            </w:r>
          </w:p>
        </w:tc>
        <w:tc>
          <w:tcPr>
            <w:tcW w:type="dxa" w:w="7488"/>
            <w:tcMar>
              <w:top w:type="dxa" w:w="80"/>
              <w:left w:type="dxa" w:w="100"/>
              <w:bottom w:type="dxa" w:w="80"/>
              <w:right w:type="dxa" w:w="100"/>
            </w:tcMar>
          </w:tcPr>
          <w:p>
            <w:r>
              <w:rPr>
                <w:b w:val="false"/>
                <w:bCs w:val="false"/>
                <w:sz w:val="20"/>
                <w:szCs w:val="20"/>
              </w:rPr>
              <w:t xml:space="preserve">The same four tier boundaries simultaneously retire the lowest active band, unlock the next band, lower the explosion gate by one (10s→9s→8s), and grant a named Mastery bonus with a flat CP discount (−5 CP at Domini/Adept/Expert/Mastery)</w:t>
            </w:r>
          </w:p>
        </w:tc>
      </w:tr>
      <w:tr>
        <w:tc>
          <w:tcPr>
            <w:tcW w:type="dxa" w:w="2448"/>
            <w:tcMar>
              <w:top w:type="dxa" w:w="80"/>
              <w:left w:type="dxa" w:w="100"/>
              <w:bottom w:type="dxa" w:w="80"/>
              <w:right w:type="dxa" w:w="100"/>
            </w:tcMar>
          </w:tcPr>
          <w:p>
            <w:r>
              <w:rPr>
                <w:b w:val="false"/>
                <w:bCs w:val="false"/>
                <w:sz w:val="20"/>
                <w:szCs w:val="20"/>
              </w:rPr>
              <w:t xml:space="preserve">Dice pool growth</w:t>
            </w:r>
          </w:p>
        </w:tc>
        <w:tc>
          <w:tcPr>
            <w:tcW w:type="dxa" w:w="7488"/>
            <w:tcMar>
              <w:top w:type="dxa" w:w="80"/>
              <w:left w:type="dxa" w:w="100"/>
              <w:bottom w:type="dxa" w:w="80"/>
              <w:right w:type="dxa" w:w="100"/>
            </w:tcMar>
          </w:tcPr>
          <w:p>
            <w:r>
              <w:rPr>
                <w:b w:val="false"/>
                <w:bCs w:val="false"/>
                <w:sz w:val="20"/>
                <w:szCs w:val="20"/>
              </w:rPr>
              <w:t xml:space="preserve">Roughly one additional die every 10 levels (1d10@5, 2d10@15, 3d10@25, 4d10@35, 5d10@45), independent of the TN/band mechanic above</w:t>
            </w:r>
          </w:p>
        </w:tc>
      </w:tr>
    </w:tbl>
    <w:p>
      <w:pPr>
        <w:pBdr>
          <w:left w:val="single" w:color="999999" w:sz="12" w:space="8"/>
        </w:pBdr>
        <w:spacing w:after="200" w:before="100"/>
        <w:ind w:left="200"/>
      </w:pPr>
      <w:r>
        <w:rPr>
          <w:i/>
          <w:iCs/>
        </w:rPr>
        <w:t xml:space="preserve">This closes v0.1 §12 open items #1–#3 for the Core+Advanced+Superior+Apex range (levels 1–50). Values above 50 (Legendary/Transcendent, Mythic-tier Mastery) are not in the authored table and remain ⚠ OPEN.</w:t>
      </w:r>
    </w:p>
    <w:p>
      <w:pPr>
        <w:pStyle w:val="Heading1"/>
        <w:spacing w:after="160" w:before="320"/>
      </w:pPr>
      <w:r>
        <w:t xml:space="preserve">5. Effect families (the Perk vocabulary)</w:t>
      </w:r>
    </w:p>
    <w:p>
      <w:pPr>
        <w:spacing w:after="160"/>
      </w:pPr>
      <w:r>
        <w:rPr>
          <w:b w:val="false"/>
          <w:bCs w:val="false"/>
          <w:i w:val="false"/>
          <w:iCs w:val="false"/>
        </w:rPr>
        <w:t xml:space="preserve">Perks never touch dice, the explosion gate, or success-band TNs — those belong exclusively to Skills and Actions (§4). What a Perk can be is one of five families. Each stores {subject, family, tier}; the displayed number/permission text is derived from a support table at that tier, never hand-written per Perk.</w:t>
      </w:r>
    </w:p>
    <w:tbl>
      <w:tblPr>
        <w:tblW w:type="dxa" w:w="9647"/>
        <w:tblBorders>
          <w:top w:val="single" w:color="auto" w:sz="4"/>
          <w:left w:val="single" w:color="auto" w:sz="4"/>
          <w:bottom w:val="single" w:color="auto" w:sz="4"/>
          <w:right w:val="single" w:color="auto" w:sz="4"/>
          <w:insideH w:val="single" w:color="auto" w:sz="4"/>
          <w:insideV w:val="single" w:color="auto" w:sz="4"/>
        </w:tblBorders>
      </w:tblPr>
      <w:tblGrid>
        <w:gridCol w:w="1727"/>
        <w:gridCol w:w="4032"/>
        <w:gridCol w:w="3888"/>
      </w:tblGrid>
      <w:tr>
        <w:trPr>
          <w:tblHeader/>
        </w:trPr>
        <w:tc>
          <w:tcPr>
            <w:tcW w:type="dxa" w:w="1727"/>
            <w:shd w:fill="E7E6E6" w:color="auto" w:val="clear"/>
            <w:tcMar>
              <w:top w:type="dxa" w:w="80"/>
              <w:left w:type="dxa" w:w="100"/>
              <w:bottom w:type="dxa" w:w="80"/>
              <w:right w:type="dxa" w:w="100"/>
            </w:tcMar>
          </w:tcPr>
          <w:p>
            <w:r>
              <w:rPr>
                <w:b/>
                <w:bCs/>
                <w:sz w:val="20"/>
                <w:szCs w:val="20"/>
              </w:rPr>
              <w:t xml:space="preserve">Family</w:t>
            </w:r>
          </w:p>
        </w:tc>
        <w:tc>
          <w:tcPr>
            <w:tcW w:type="dxa" w:w="4032"/>
            <w:shd w:fill="E7E6E6" w:color="auto" w:val="clear"/>
            <w:tcMar>
              <w:top w:type="dxa" w:w="80"/>
              <w:left w:type="dxa" w:w="100"/>
              <w:bottom w:type="dxa" w:w="80"/>
              <w:right w:type="dxa" w:w="100"/>
            </w:tcMar>
          </w:tcPr>
          <w:p>
            <w:r>
              <w:rPr>
                <w:b/>
                <w:bCs/>
                <w:sz w:val="20"/>
                <w:szCs w:val="20"/>
              </w:rPr>
              <w:t xml:space="preserve">Definition</w:t>
            </w:r>
          </w:p>
        </w:tc>
        <w:tc>
          <w:tcPr>
            <w:tcW w:type="dxa" w:w="3888"/>
            <w:shd w:fill="E7E6E6" w:color="auto" w:val="clear"/>
            <w:tcMar>
              <w:top w:type="dxa" w:w="80"/>
              <w:left w:type="dxa" w:w="100"/>
              <w:bottom w:type="dxa" w:w="80"/>
              <w:right w:type="dxa" w:w="100"/>
            </w:tcMar>
          </w:tcPr>
          <w:p>
            <w:r>
              <w:rPr>
                <w:b/>
                <w:bCs/>
                <w:sz w:val="20"/>
                <w:szCs w:val="20"/>
              </w:rPr>
              <w:t xml:space="preserve">Worked example</w:t>
            </w:r>
          </w:p>
        </w:tc>
      </w:tr>
      <w:tr>
        <w:tc>
          <w:tcPr>
            <w:tcW w:type="dxa" w:w="1727"/>
            <w:tcMar>
              <w:top w:type="dxa" w:w="80"/>
              <w:left w:type="dxa" w:w="100"/>
              <w:bottom w:type="dxa" w:w="80"/>
              <w:right w:type="dxa" w:w="100"/>
            </w:tcMar>
          </w:tcPr>
          <w:p>
            <w:r>
              <w:rPr>
                <w:b w:val="false"/>
                <w:bCs w:val="false"/>
                <w:sz w:val="20"/>
                <w:szCs w:val="20"/>
              </w:rPr>
              <w:t xml:space="preserve">Flat bonus</w:t>
            </w:r>
          </w:p>
        </w:tc>
        <w:tc>
          <w:tcPr>
            <w:tcW w:type="dxa" w:w="4032"/>
            <w:tcMar>
              <w:top w:type="dxa" w:w="80"/>
              <w:left w:type="dxa" w:w="100"/>
              <w:bottom w:type="dxa" w:w="80"/>
              <w:right w:type="dxa" w:w="100"/>
            </w:tcMar>
          </w:tcPr>
          <w:p>
            <w:r>
              <w:rPr>
                <w:b w:val="false"/>
                <w:bCs w:val="false"/>
                <w:sz w:val="20"/>
                <w:szCs w:val="20"/>
              </w:rPr>
              <w:t xml:space="preserve">A numeric addition to an existing rollable or derived value, denominated in a bonus type (see §6.3)</w:t>
            </w:r>
          </w:p>
        </w:tc>
        <w:tc>
          <w:tcPr>
            <w:tcW w:type="dxa" w:w="3888"/>
            <w:tcMar>
              <w:top w:type="dxa" w:w="80"/>
              <w:left w:type="dxa" w:w="100"/>
              <w:bottom w:type="dxa" w:w="80"/>
              <w:right w:type="dxa" w:w="100"/>
            </w:tcMar>
          </w:tcPr>
          <w:p>
            <w:r>
              <w:rPr>
                <w:b w:val="false"/>
                <w:bCs w:val="false"/>
                <w:sz w:val="20"/>
                <w:szCs w:val="20"/>
              </w:rPr>
              <w:t xml:space="preserve">Sword attack +1 (Ability-type)</w:t>
            </w:r>
          </w:p>
        </w:tc>
      </w:tr>
      <w:tr>
        <w:tc>
          <w:tcPr>
            <w:tcW w:type="dxa" w:w="1727"/>
            <w:tcMar>
              <w:top w:type="dxa" w:w="80"/>
              <w:left w:type="dxa" w:w="100"/>
              <w:bottom w:type="dxa" w:w="80"/>
              <w:right w:type="dxa" w:w="100"/>
            </w:tcMar>
          </w:tcPr>
          <w:p>
            <w:r>
              <w:rPr>
                <w:b w:val="false"/>
                <w:bCs w:val="false"/>
                <w:sz w:val="20"/>
                <w:szCs w:val="20"/>
              </w:rPr>
              <w:t xml:space="preserve">Reliability</w:t>
            </w:r>
          </w:p>
        </w:tc>
        <w:tc>
          <w:tcPr>
            <w:tcW w:type="dxa" w:w="4032"/>
            <w:tcMar>
              <w:top w:type="dxa" w:w="80"/>
              <w:left w:type="dxa" w:w="100"/>
              <w:bottom w:type="dxa" w:w="80"/>
              <w:right w:type="dxa" w:w="100"/>
            </w:tcMar>
          </w:tcPr>
          <w:p>
            <w:r>
              <w:rPr>
                <w:b w:val="false"/>
                <w:bCs w:val="false"/>
                <w:sz w:val="20"/>
                <w:szCs w:val="20"/>
              </w:rPr>
              <w:t xml:space="preserve">Moves a result along: rolled → conditional → automatic</w:t>
            </w:r>
          </w:p>
        </w:tc>
        <w:tc>
          <w:tcPr>
            <w:tcW w:type="dxa" w:w="3888"/>
            <w:tcMar>
              <w:top w:type="dxa" w:w="80"/>
              <w:left w:type="dxa" w:w="100"/>
              <w:bottom w:type="dxa" w:w="80"/>
              <w:right w:type="dxa" w:w="100"/>
            </w:tcMar>
          </w:tcPr>
          <w:p>
            <w:r>
              <w:rPr>
                <w:b w:val="false"/>
                <w:bCs w:val="false"/>
                <w:sz w:val="20"/>
                <w:szCs w:val="20"/>
              </w:rPr>
              <w:t xml:space="preserve">Combat Reflex: an ordinarily-rolled reflex becomes unconditional</w:t>
            </w:r>
          </w:p>
        </w:tc>
      </w:tr>
      <w:tr>
        <w:tc>
          <w:tcPr>
            <w:tcW w:type="dxa" w:w="1727"/>
            <w:tcMar>
              <w:top w:type="dxa" w:w="80"/>
              <w:left w:type="dxa" w:w="100"/>
              <w:bottom w:type="dxa" w:w="80"/>
              <w:right w:type="dxa" w:w="100"/>
            </w:tcMar>
          </w:tcPr>
          <w:p>
            <w:r>
              <w:rPr>
                <w:b w:val="false"/>
                <w:bCs w:val="false"/>
                <w:sz w:val="20"/>
                <w:szCs w:val="20"/>
              </w:rPr>
              <w:t xml:space="preserve">Coverage</w:t>
            </w:r>
          </w:p>
        </w:tc>
        <w:tc>
          <w:tcPr>
            <w:tcW w:type="dxa" w:w="4032"/>
            <w:tcMar>
              <w:top w:type="dxa" w:w="80"/>
              <w:left w:type="dxa" w:w="100"/>
              <w:bottom w:type="dxa" w:w="80"/>
              <w:right w:type="dxa" w:w="100"/>
            </w:tcMar>
          </w:tcPr>
          <w:p>
            <w:r>
              <w:rPr>
                <w:b w:val="false"/>
                <w:bCs w:val="false"/>
                <w:sz w:val="20"/>
                <w:szCs w:val="20"/>
              </w:rPr>
              <w:t xml:space="preserve">Expands scope: one subject → one target → all qualifying targets</w:t>
            </w:r>
          </w:p>
        </w:tc>
        <w:tc>
          <w:tcPr>
            <w:tcW w:type="dxa" w:w="3888"/>
            <w:tcMar>
              <w:top w:type="dxa" w:w="80"/>
              <w:left w:type="dxa" w:w="100"/>
              <w:bottom w:type="dxa" w:w="80"/>
              <w:right w:type="dxa" w:w="100"/>
            </w:tcMar>
          </w:tcPr>
          <w:p>
            <w:r>
              <w:rPr>
                <w:b w:val="false"/>
                <w:bCs w:val="false"/>
                <w:sz w:val="20"/>
                <w:szCs w:val="20"/>
              </w:rPr>
              <w:t xml:space="preserve">Grim Reaper Sprint: deathblow logic applies to every qualifying enemy reached, not just one</w:t>
            </w:r>
          </w:p>
        </w:tc>
      </w:tr>
      <w:tr>
        <w:tc>
          <w:tcPr>
            <w:tcW w:type="dxa" w:w="1727"/>
            <w:tcMar>
              <w:top w:type="dxa" w:w="80"/>
              <w:left w:type="dxa" w:w="100"/>
              <w:bottom w:type="dxa" w:w="80"/>
              <w:right w:type="dxa" w:w="100"/>
            </w:tcMar>
          </w:tcPr>
          <w:p>
            <w:r>
              <w:rPr>
                <w:b w:val="false"/>
                <w:bCs w:val="false"/>
                <w:sz w:val="20"/>
                <w:szCs w:val="20"/>
              </w:rPr>
              <w:t xml:space="preserve">Threshold</w:t>
            </w:r>
          </w:p>
        </w:tc>
        <w:tc>
          <w:tcPr>
            <w:tcW w:type="dxa" w:w="4032"/>
            <w:tcMar>
              <w:top w:type="dxa" w:w="80"/>
              <w:left w:type="dxa" w:w="100"/>
              <w:bottom w:type="dxa" w:w="80"/>
              <w:right w:type="dxa" w:w="100"/>
            </w:tcMar>
          </w:tcPr>
          <w:p>
            <w:r>
              <w:rPr>
                <w:b w:val="false"/>
                <w:bCs w:val="false"/>
                <w:sz w:val="20"/>
                <w:szCs w:val="20"/>
              </w:rPr>
              <w:t xml:space="preserve">Changes a triggering or breakpoint value on an existing mechanic</w:t>
            </w:r>
          </w:p>
        </w:tc>
        <w:tc>
          <w:tcPr>
            <w:tcW w:type="dxa" w:w="3888"/>
            <w:tcMar>
              <w:top w:type="dxa" w:w="80"/>
              <w:left w:type="dxa" w:w="100"/>
              <w:bottom w:type="dxa" w:w="80"/>
              <w:right w:type="dxa" w:w="100"/>
            </w:tcMar>
          </w:tcPr>
          <w:p>
            <w:r>
              <w:rPr>
                <w:b w:val="false"/>
                <w:bCs w:val="false"/>
                <w:sz w:val="20"/>
                <w:szCs w:val="20"/>
              </w:rPr>
              <w:t xml:space="preserve">Extreme Severance: limb HP calculated at −25% for severance purposes</w:t>
            </w:r>
          </w:p>
        </w:tc>
      </w:tr>
      <w:tr>
        <w:tc>
          <w:tcPr>
            <w:tcW w:type="dxa" w:w="1727"/>
            <w:tcMar>
              <w:top w:type="dxa" w:w="80"/>
              <w:left w:type="dxa" w:w="100"/>
              <w:bottom w:type="dxa" w:w="80"/>
              <w:right w:type="dxa" w:w="100"/>
            </w:tcMar>
          </w:tcPr>
          <w:p>
            <w:r>
              <w:rPr>
                <w:b w:val="false"/>
                <w:bCs w:val="false"/>
                <w:sz w:val="20"/>
                <w:szCs w:val="20"/>
              </w:rPr>
              <w:t xml:space="preserve">Permission</w:t>
            </w:r>
          </w:p>
        </w:tc>
        <w:tc>
          <w:tcPr>
            <w:tcW w:type="dxa" w:w="4032"/>
            <w:tcMar>
              <w:top w:type="dxa" w:w="80"/>
              <w:left w:type="dxa" w:w="100"/>
              <w:bottom w:type="dxa" w:w="80"/>
              <w:right w:type="dxa" w:w="100"/>
            </w:tcMar>
          </w:tcPr>
          <w:p>
            <w:r>
              <w:rPr>
                <w:b w:val="false"/>
                <w:bCs w:val="false"/>
                <w:sz w:val="20"/>
                <w:szCs w:val="20"/>
              </w:rPr>
              <w:t xml:space="preserve">Grants access to a mode of using an existing action/equipment that wasn't available before</w:t>
            </w:r>
          </w:p>
        </w:tc>
        <w:tc>
          <w:tcPr>
            <w:tcW w:type="dxa" w:w="3888"/>
            <w:tcMar>
              <w:top w:type="dxa" w:w="80"/>
              <w:left w:type="dxa" w:w="100"/>
              <w:bottom w:type="dxa" w:w="80"/>
              <w:right w:type="dxa" w:w="100"/>
            </w:tcMar>
          </w:tcPr>
          <w:p>
            <w:r>
              <w:rPr>
                <w:b w:val="false"/>
                <w:bCs w:val="false"/>
                <w:sz w:val="20"/>
                <w:szCs w:val="20"/>
              </w:rPr>
              <w:t xml:space="preserve">Improved Dual Wield: may use a medium+small pair instead of light+small</w:t>
            </w:r>
          </w:p>
        </w:tc>
      </w:tr>
    </w:tbl>
    <w:p>
      <w:pPr>
        <w:pBdr>
          <w:left w:val="single" w:color="999999" w:sz="12" w:space="8"/>
        </w:pBdr>
        <w:spacing w:after="200" w:before="100"/>
        <w:ind w:left="200"/>
      </w:pPr>
      <w:r>
        <w:rPr>
          <w:i/>
          <w:iCs/>
        </w:rPr>
        <w:t xml:space="preserve">⚠ OPEN — confirm no observed Perk in the source material (Advanced Knowledge sheets, Attribute Feats, Anti Perks) falls outside these five. Working assumption per §2 of the family-catalog discussion is yes; this should be spot-checked once Advanced Knowledge is converted to records (§12).</w:t>
      </w:r>
    </w:p>
    <w:p>
      <w:pPr>
        <w:pStyle w:val="Heading1"/>
        <w:spacing w:after="160" w:before="320"/>
      </w:pPr>
      <w:r>
        <w:t xml:space="preserve">6. Tier, stacking, and Fusion</w:t>
      </w:r>
    </w:p>
    <w:p>
      <w:pPr>
        <w:pStyle w:val="Heading2"/>
        <w:spacing w:after="120" w:before="260"/>
      </w:pPr>
      <w:r>
        <w:t xml:space="preserve">6.1 Tier is derived, not declared</w:t>
      </w:r>
    </w:p>
    <w:p>
      <w:pPr>
        <w:spacing w:after="160"/>
      </w:pPr>
      <w:r>
        <w:rPr>
          <w:b w:val="false"/>
          <w:bCs w:val="false"/>
          <w:i w:val="false"/>
          <w:iCs w:val="false"/>
        </w:rPr>
        <w:t xml:space="preserve">The five brackets — Entry, Intermediate, Advanced, Expert, Master — map onto the same skill-level bands the game already uses for caps: 1–10, 11–25, 26–40, 41–50, 50+/Mastery. A Feat's tier is computed, not chosen by the author:</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4176"/>
        <w:gridCol w:w="5616"/>
      </w:tblGrid>
      <w:tr>
        <w:trPr>
          <w:tblHeader/>
        </w:trPr>
        <w:tc>
          <w:tcPr>
            <w:tcW w:type="dxa" w:w="4176"/>
            <w:shd w:fill="E7E6E6" w:color="auto" w:val="clear"/>
            <w:tcMar>
              <w:top w:type="dxa" w:w="80"/>
              <w:left w:type="dxa" w:w="100"/>
              <w:bottom w:type="dxa" w:w="80"/>
              <w:right w:type="dxa" w:w="100"/>
            </w:tcMar>
          </w:tcPr>
          <w:p>
            <w:r>
              <w:rPr>
                <w:b/>
                <w:bCs/>
                <w:sz w:val="20"/>
                <w:szCs w:val="20"/>
              </w:rPr>
              <w:t xml:space="preserve">Formula</w:t>
            </w:r>
          </w:p>
        </w:tc>
        <w:tc>
          <w:tcPr>
            <w:tcW w:type="dxa" w:w="5616"/>
            <w:shd w:fill="E7E6E6" w:color="auto" w:val="clear"/>
            <w:tcMar>
              <w:top w:type="dxa" w:w="80"/>
              <w:left w:type="dxa" w:w="100"/>
              <w:bottom w:type="dxa" w:w="80"/>
              <w:right w:type="dxa" w:w="100"/>
            </w:tcMar>
          </w:tcPr>
          <w:p>
            <w:r>
              <w:rPr>
                <w:b/>
                <w:bCs/>
                <w:sz w:val="20"/>
                <w:szCs w:val="20"/>
              </w:rPr>
              <w:t xml:space="preserve">Meaning</w:t>
            </w:r>
          </w:p>
        </w:tc>
      </w:tr>
      <w:tr>
        <w:tc>
          <w:tcPr>
            <w:tcW w:type="dxa" w:w="4176"/>
            <w:tcMar>
              <w:top w:type="dxa" w:w="80"/>
              <w:left w:type="dxa" w:w="100"/>
              <w:bottom w:type="dxa" w:w="80"/>
              <w:right w:type="dxa" w:w="100"/>
            </w:tcMar>
          </w:tcPr>
          <w:p>
            <w:r>
              <w:rPr>
                <w:b w:val="false"/>
                <w:bCs w:val="false"/>
                <w:sz w:val="20"/>
                <w:szCs w:val="20"/>
              </w:rPr>
              <w:t xml:space="preserve">root_floor = tier of the Skill/root the Feat is anchored to</w:t>
            </w:r>
          </w:p>
        </w:tc>
        <w:tc>
          <w:tcPr>
            <w:tcW w:type="dxa" w:w="5616"/>
            <w:tcMar>
              <w:top w:type="dxa" w:w="80"/>
              <w:left w:type="dxa" w:w="100"/>
              <w:bottom w:type="dxa" w:w="80"/>
              <w:right w:type="dxa" w:w="100"/>
            </w:tcMar>
          </w:tcPr>
          <w:p>
            <w:r>
              <w:rPr>
                <w:b w:val="false"/>
                <w:bCs w:val="false"/>
                <w:sz w:val="20"/>
                <w:szCs w:val="20"/>
              </w:rPr>
              <w:t xml:space="preserve">Where the action becomes available at all</w:t>
            </w:r>
          </w:p>
        </w:tc>
      </w:tr>
      <w:tr>
        <w:tc>
          <w:tcPr>
            <w:tcW w:type="dxa" w:w="4176"/>
            <w:tcMar>
              <w:top w:type="dxa" w:w="80"/>
              <w:left w:type="dxa" w:w="100"/>
              <w:bottom w:type="dxa" w:w="80"/>
              <w:right w:type="dxa" w:w="100"/>
            </w:tcMar>
          </w:tcPr>
          <w:p>
            <w:r>
              <w:rPr>
                <w:b w:val="false"/>
                <w:bCs w:val="false"/>
                <w:sz w:val="20"/>
                <w:szCs w:val="20"/>
              </w:rPr>
              <w:t xml:space="preserve">effect_floor = highest effect-family tier among the Feat's Perks</w:t>
            </w:r>
          </w:p>
        </w:tc>
        <w:tc>
          <w:tcPr>
            <w:tcW w:type="dxa" w:w="5616"/>
            <w:tcMar>
              <w:top w:type="dxa" w:w="80"/>
              <w:left w:type="dxa" w:w="100"/>
              <w:bottom w:type="dxa" w:w="80"/>
              <w:right w:type="dxa" w:w="100"/>
            </w:tcMar>
          </w:tcPr>
          <w:p>
            <w:r>
              <w:rPr>
                <w:b w:val="false"/>
                <w:bCs w:val="false"/>
                <w:sz w:val="20"/>
                <w:szCs w:val="20"/>
              </w:rPr>
              <w:t xml:space="preserve">Where the actual capability sits by peer comparison</w:t>
            </w:r>
          </w:p>
        </w:tc>
      </w:tr>
      <w:tr>
        <w:tc>
          <w:tcPr>
            <w:tcW w:type="dxa" w:w="4176"/>
            <w:tcMar>
              <w:top w:type="dxa" w:w="80"/>
              <w:left w:type="dxa" w:w="100"/>
              <w:bottom w:type="dxa" w:w="80"/>
              <w:right w:type="dxa" w:w="100"/>
            </w:tcMar>
          </w:tcPr>
          <w:p>
            <w:r>
              <w:rPr>
                <w:b w:val="false"/>
                <w:bCs w:val="false"/>
                <w:sz w:val="20"/>
                <w:szCs w:val="20"/>
              </w:rPr>
              <w:t xml:space="preserve">feat_tier = max(root_floor, effect_floor)</w:t>
            </w:r>
          </w:p>
        </w:tc>
        <w:tc>
          <w:tcPr>
            <w:tcW w:type="dxa" w:w="5616"/>
            <w:tcMar>
              <w:top w:type="dxa" w:w="80"/>
              <w:left w:type="dxa" w:w="100"/>
              <w:bottom w:type="dxa" w:w="80"/>
              <w:right w:type="dxa" w:w="100"/>
            </w:tcMar>
          </w:tcPr>
          <w:p>
            <w:r>
              <w:rPr>
                <w:b w:val="false"/>
                <w:bCs w:val="false"/>
                <w:sz w:val="20"/>
                <w:szCs w:val="20"/>
              </w:rPr>
              <w:t xml:space="preserve">A long chain of Entry-family Perks stays Entry regardless of chain length. A single Perk that crosses a family bracket (e.g. coverage: one-target → all-qualifying-targets) pulls the whole Feat up to that bracket.</w:t>
            </w:r>
          </w:p>
        </w:tc>
      </w:tr>
    </w:tbl>
    <w:p>
      <w:pPr>
        <w:spacing w:after="160"/>
      </w:pPr>
      <w:r>
        <w:rPr>
          <w:b w:val="false"/>
          <w:bCs w:val="false"/>
          <w:i w:val="false"/>
          <w:iCs w:val="false"/>
        </w:rPr>
        <w:t xml:space="preserve">This is the direct fix for the stated authoring risk: feats created by hand tend to drift at higher levels, adding too much or too little. Deriving tier from bracket-crossing rather than from author judgement or chain length removes that drift.</w:t>
      </w:r>
    </w:p>
    <w:p>
      <w:pPr>
        <w:pStyle w:val="Heading2"/>
        <w:spacing w:after="120" w:before="260"/>
      </w:pPr>
      <w:r>
        <w:t xml:space="preserve">6.2 Chain length is not adjacency</w:t>
      </w:r>
    </w:p>
    <w:p>
      <w:pPr>
        <w:spacing w:after="160"/>
      </w:pPr>
      <w:r>
        <w:rPr>
          <w:b w:val="false"/>
          <w:bCs w:val="false"/>
          <w:i w:val="false"/>
          <w:iCs w:val="false"/>
        </w:rPr>
        <w:t xml:space="preserve">Unlike PoE, reaching a deep node does not require buying every intermediate node on a visual path — it requires satisfying that node's requirement closure, which may draw from several shallower branches at once. Long same-tier chains are legal (six Expert Feats can remain Expert). Procedural layout renders requirement edges as connective lines, which gives the PoE “path” reading for free without adjacency being a rule.</w:t>
      </w:r>
    </w:p>
    <w:p>
      <w:pPr>
        <w:pStyle w:val="Heading2"/>
        <w:spacing w:after="120" w:before="260"/>
      </w:pPr>
      <w:r>
        <w:t xml:space="preserve">6.3 Runtime stacking (the compound-advantages panel)</w:t>
      </w:r>
    </w:p>
    <w:p>
      <w:pPr>
        <w:spacing w:after="160"/>
      </w:pPr>
      <w:r>
        <w:rPr>
          <w:b w:val="false"/>
          <w:bCs w:val="false"/>
          <w:i w:val="false"/>
          <w:iCs w:val="false"/>
        </w:rPr>
        <w:t xml:space="preserve">This is the one piece of genuine runtime logic in the app — everything else above is author-time. Combat/derived bonuses are typed at two levels: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448"/>
        <w:gridCol w:w="4032"/>
        <w:gridCol w:w="3312"/>
      </w:tblGrid>
      <w:tr>
        <w:trPr>
          <w:tblHeader/>
        </w:trPr>
        <w:tc>
          <w:tcPr>
            <w:tcW w:type="dxa" w:w="2448"/>
            <w:shd w:fill="E7E6E6" w:color="auto" w:val="clear"/>
            <w:tcMar>
              <w:top w:type="dxa" w:w="80"/>
              <w:left w:type="dxa" w:w="100"/>
              <w:bottom w:type="dxa" w:w="80"/>
              <w:right w:type="dxa" w:w="100"/>
            </w:tcMar>
          </w:tcPr>
          <w:p>
            <w:r>
              <w:rPr>
                <w:b/>
                <w:bCs/>
                <w:sz w:val="20"/>
                <w:szCs w:val="20"/>
              </w:rPr>
              <w:t xml:space="preserve">Level</w:t>
            </w:r>
          </w:p>
        </w:tc>
        <w:tc>
          <w:tcPr>
            <w:tcW w:type="dxa" w:w="4032"/>
            <w:shd w:fill="E7E6E6" w:color="auto" w:val="clear"/>
            <w:tcMar>
              <w:top w:type="dxa" w:w="80"/>
              <w:left w:type="dxa" w:w="100"/>
              <w:bottom w:type="dxa" w:w="80"/>
              <w:right w:type="dxa" w:w="100"/>
            </w:tcMar>
          </w:tcPr>
          <w:p>
            <w:r>
              <w:rPr>
                <w:b/>
                <w:bCs/>
                <w:sz w:val="20"/>
                <w:szCs w:val="20"/>
              </w:rPr>
              <w:t xml:space="preserve">Categories</w:t>
            </w:r>
          </w:p>
        </w:tc>
        <w:tc>
          <w:tcPr>
            <w:tcW w:type="dxa" w:w="3312"/>
            <w:shd w:fill="E7E6E6" w:color="auto" w:val="clear"/>
            <w:tcMar>
              <w:top w:type="dxa" w:w="80"/>
              <w:left w:type="dxa" w:w="100"/>
              <w:bottom w:type="dxa" w:w="80"/>
              <w:right w:type="dxa" w:w="100"/>
            </w:tcMar>
          </w:tcPr>
          <w:p>
            <w:r>
              <w:rPr>
                <w:b/>
                <w:bCs/>
                <w:sz w:val="20"/>
                <w:szCs w:val="20"/>
              </w:rPr>
              <w:t xml:space="preserve">Rule</w:t>
            </w:r>
          </w:p>
        </w:tc>
      </w:tr>
      <w:tr>
        <w:tc>
          <w:tcPr>
            <w:tcW w:type="dxa" w:w="2448"/>
            <w:tcMar>
              <w:top w:type="dxa" w:w="80"/>
              <w:left w:type="dxa" w:w="100"/>
              <w:bottom w:type="dxa" w:w="80"/>
              <w:right w:type="dxa" w:w="100"/>
            </w:tcMar>
          </w:tcPr>
          <w:p>
            <w:r>
              <w:rPr>
                <w:b w:val="false"/>
                <w:bCs w:val="false"/>
                <w:sz w:val="20"/>
                <w:szCs w:val="20"/>
              </w:rPr>
              <w:t xml:space="preserve">Top-level bonus category</w:t>
            </w:r>
          </w:p>
        </w:tc>
        <w:tc>
          <w:tcPr>
            <w:tcW w:type="dxa" w:w="4032"/>
            <w:tcMar>
              <w:top w:type="dxa" w:w="80"/>
              <w:left w:type="dxa" w:w="100"/>
              <w:bottom w:type="dxa" w:w="80"/>
              <w:right w:type="dxa" w:w="100"/>
            </w:tcMar>
          </w:tcPr>
          <w:p>
            <w:r>
              <w:rPr>
                <w:b w:val="false"/>
                <w:bCs w:val="false"/>
                <w:sz w:val="20"/>
                <w:szCs w:val="20"/>
              </w:rPr>
              <w:t xml:space="preserve">Ability, Circumstantial, Technique, Environmental</w:t>
            </w:r>
          </w:p>
        </w:tc>
        <w:tc>
          <w:tcPr>
            <w:tcW w:type="dxa" w:w="3312"/>
            <w:tcMar>
              <w:top w:type="dxa" w:w="80"/>
              <w:left w:type="dxa" w:w="100"/>
              <w:bottom w:type="dxa" w:w="80"/>
              <w:right w:type="dxa" w:w="100"/>
            </w:tcMar>
          </w:tcPr>
          <w:p>
            <w:r>
              <w:rPr>
                <w:b w:val="false"/>
                <w:bCs w:val="false"/>
                <w:sz w:val="20"/>
                <w:szCs w:val="20"/>
              </w:rPr>
              <w:t xml:space="preserve">A roll may draw from any/all four simultaneously; they are independent pools</w:t>
            </w:r>
          </w:p>
        </w:tc>
      </w:tr>
      <w:tr>
        <w:tc>
          <w:tcPr>
            <w:tcW w:type="dxa" w:w="2448"/>
            <w:tcMar>
              <w:top w:type="dxa" w:w="80"/>
              <w:left w:type="dxa" w:w="100"/>
              <w:bottom w:type="dxa" w:w="80"/>
              <w:right w:type="dxa" w:w="100"/>
            </w:tcMar>
          </w:tcPr>
          <w:p>
            <w:r>
              <w:rPr>
                <w:b w:val="false"/>
                <w:bCs w:val="false"/>
                <w:sz w:val="20"/>
                <w:szCs w:val="20"/>
              </w:rPr>
              <w:t xml:space="preserve">Sub-type within a category (bonus_type)</w:t>
            </w:r>
          </w:p>
        </w:tc>
        <w:tc>
          <w:tcPr>
            <w:tcW w:type="dxa" w:w="4032"/>
            <w:tcMar>
              <w:top w:type="dxa" w:w="80"/>
              <w:left w:type="dxa" w:w="100"/>
              <w:bottom w:type="dxa" w:w="80"/>
              <w:right w:type="dxa" w:w="100"/>
            </w:tcMar>
          </w:tcPr>
          <w:p>
            <w:r>
              <w:rPr>
                <w:b w:val="false"/>
                <w:bCs w:val="false"/>
                <w:sz w:val="20"/>
                <w:szCs w:val="20"/>
              </w:rPr>
              <w:t xml:space="preserve">e.g. within Ability: Armor, Dodge, Magic (for AC); within combat: Training, Terrain, etc.</w:t>
            </w:r>
          </w:p>
        </w:tc>
        <w:tc>
          <w:tcPr>
            <w:tcW w:type="dxa" w:w="3312"/>
            <w:tcMar>
              <w:top w:type="dxa" w:w="80"/>
              <w:left w:type="dxa" w:w="100"/>
              <w:bottom w:type="dxa" w:w="80"/>
              <w:right w:type="dxa" w:w="100"/>
            </w:tcMar>
          </w:tcPr>
          <w:p>
            <w:r>
              <w:rPr>
                <w:b w:val="false"/>
                <w:bCs w:val="false"/>
                <w:sz w:val="20"/>
                <w:szCs w:val="20"/>
              </w:rPr>
              <w:t xml:space="preserve">Same subject + same bonus_type → keep highest only. Same subject + different bonus_type → sum.</w:t>
            </w:r>
          </w:p>
        </w:tc>
      </w:tr>
    </w:tbl>
    <w:p>
      <w:pPr>
        <w:spacing w:after="160"/>
      </w:pPr>
      <w:r>
        <w:rPr>
          <w:b w:val="false"/>
          <w:bCs w:val="false"/>
          <w:i w:val="false"/>
          <w:iCs w:val="false"/>
        </w:rPr>
        <w:t xml:space="preserve">Worked example from the design conversation: a +1 Weapon Focus (Training) and a +2 Weapon Focus (Training) on the same subject — keep +2 only. A +1 (Training) and a +1 (Terrain) on the same subject — sum to +2. A Dodge bonus and an Armor bonus to AC — both are legitimate Ability sub-types and add together; two Dodge bonuses do not.</w:t>
      </w:r>
    </w:p>
    <w:p>
      <w:pPr>
        <w:spacing w:after="160"/>
      </w:pPr>
      <w:r>
        <w:rPr>
          <w:b w:val="false"/>
          <w:bCs w:val="false"/>
          <w:i w:val="false"/>
          <w:iCs w:val="false"/>
        </w:rPr>
        <w:t xml:space="preserve">Panel algorithm: group active expressions by (subject, bonus_type) → take max within each group → sum across groups, partitioned first by top-level category. This runs once per build-state change, not per roll, so it can be a plain client-side reduction.</w:t>
      </w:r>
    </w:p>
    <w:p>
      <w:pPr>
        <w:pStyle w:val="Heading2"/>
        <w:spacing w:after="120" w:before="260"/>
      </w:pPr>
      <w:r>
        <w:t xml:space="preserve">6.4 The Root triad (supersedes a single “root” field)</w:t>
      </w:r>
    </w:p>
    <w:p>
      <w:pPr>
        <w:spacing w:after="160"/>
      </w:pPr>
      <w:r>
        <w:rPr>
          <w:b w:val="false"/>
          <w:bCs w:val="false"/>
          <w:i w:val="false"/>
          <w:iCs w:val="false"/>
        </w:rPr>
        <w:t xml:space="preserve">Every Perk and Feat resolves against three distinct Roots, not one. Conflating them is the single most common derailment failure the Authoring GDD v2 names: a chain that starts at Sword Mastery must not casually end at Sword Aura, because those are different Practice Roots even though both could trace to the same Authority Root.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60"/>
        <w:gridCol w:w="4176"/>
        <w:gridCol w:w="3600"/>
      </w:tblGrid>
      <w:tr>
        <w:trPr>
          <w:tblHeader/>
        </w:trPr>
        <w:tc>
          <w:tcPr>
            <w:tcW w:type="dxa" w:w="2160"/>
            <w:shd w:fill="E7E6E6" w:color="auto" w:val="clear"/>
            <w:tcMar>
              <w:top w:type="dxa" w:w="80"/>
              <w:left w:type="dxa" w:w="100"/>
              <w:bottom w:type="dxa" w:w="80"/>
              <w:right w:type="dxa" w:w="100"/>
            </w:tcMar>
          </w:tcPr>
          <w:p>
            <w:r>
              <w:rPr>
                <w:b/>
                <w:bCs/>
                <w:sz w:val="20"/>
                <w:szCs w:val="20"/>
              </w:rPr>
              <w:t xml:space="preserve">Root</w:t>
            </w:r>
          </w:p>
        </w:tc>
        <w:tc>
          <w:tcPr>
            <w:tcW w:type="dxa" w:w="4176"/>
            <w:shd w:fill="E7E6E6" w:color="auto" w:val="clear"/>
            <w:tcMar>
              <w:top w:type="dxa" w:w="80"/>
              <w:left w:type="dxa" w:w="100"/>
              <w:bottom w:type="dxa" w:w="80"/>
              <w:right w:type="dxa" w:w="100"/>
            </w:tcMar>
          </w:tcPr>
          <w:p>
            <w:r>
              <w:rPr>
                <w:b/>
                <w:bCs/>
                <w:sz w:val="20"/>
                <w:szCs w:val="20"/>
              </w:rPr>
              <w:t xml:space="preserve">Answers</w:t>
            </w:r>
          </w:p>
        </w:tc>
        <w:tc>
          <w:tcPr>
            <w:tcW w:type="dxa" w:w="3600"/>
            <w:shd w:fill="E7E6E6" w:color="auto" w:val="clear"/>
            <w:tcMar>
              <w:top w:type="dxa" w:w="80"/>
              <w:left w:type="dxa" w:w="100"/>
              <w:bottom w:type="dxa" w:w="80"/>
              <w:right w:type="dxa" w:w="100"/>
            </w:tcMar>
          </w:tcPr>
          <w:p>
            <w:r>
              <w:rPr>
                <w:b/>
                <w:bCs/>
                <w:sz w:val="20"/>
                <w:szCs w:val="20"/>
              </w:rPr>
              <w:t xml:space="preserve">Example</w:t>
            </w:r>
          </w:p>
        </w:tc>
      </w:tr>
      <w:tr>
        <w:tc>
          <w:tcPr>
            <w:tcW w:type="dxa" w:w="2160"/>
            <w:tcMar>
              <w:top w:type="dxa" w:w="80"/>
              <w:left w:type="dxa" w:w="100"/>
              <w:bottom w:type="dxa" w:w="80"/>
              <w:right w:type="dxa" w:w="100"/>
            </w:tcMar>
          </w:tcPr>
          <w:p>
            <w:r>
              <w:rPr>
                <w:b w:val="false"/>
                <w:bCs w:val="false"/>
                <w:sz w:val="20"/>
                <w:szCs w:val="20"/>
              </w:rPr>
              <w:t xml:space="preserve">Authority Root</w:t>
            </w:r>
          </w:p>
        </w:tc>
        <w:tc>
          <w:tcPr>
            <w:tcW w:type="dxa" w:w="4176"/>
            <w:tcMar>
              <w:top w:type="dxa" w:w="80"/>
              <w:left w:type="dxa" w:w="100"/>
              <w:bottom w:type="dxa" w:w="80"/>
              <w:right w:type="dxa" w:w="100"/>
            </w:tcMar>
          </w:tcPr>
          <w:p>
            <w:r>
              <w:rPr>
                <w:b w:val="false"/>
                <w:bCs w:val="false"/>
                <w:sz w:val="20"/>
                <w:szCs w:val="20"/>
              </w:rPr>
              <w:t xml:space="preserve">Which system may write this effect at all — a Skill, a named Class Core Feature, a Trait, or an Attribute</w:t>
            </w:r>
          </w:p>
        </w:tc>
        <w:tc>
          <w:tcPr>
            <w:tcW w:type="dxa" w:w="3600"/>
            <w:tcMar>
              <w:top w:type="dxa" w:w="80"/>
              <w:left w:type="dxa" w:w="100"/>
              <w:bottom w:type="dxa" w:w="80"/>
              <w:right w:type="dxa" w:w="100"/>
            </w:tcMar>
          </w:tcPr>
          <w:p>
            <w:r>
              <w:rPr>
                <w:b w:val="false"/>
                <w:bCs w:val="false"/>
                <w:sz w:val="20"/>
                <w:szCs w:val="20"/>
              </w:rPr>
              <w:t xml:space="preserve">Melee Weapons Skill</w:t>
            </w:r>
          </w:p>
        </w:tc>
      </w:tr>
      <w:tr>
        <w:tc>
          <w:tcPr>
            <w:tcW w:type="dxa" w:w="2160"/>
            <w:tcMar>
              <w:top w:type="dxa" w:w="80"/>
              <w:left w:type="dxa" w:w="100"/>
              <w:bottom w:type="dxa" w:w="80"/>
              <w:right w:type="dxa" w:w="100"/>
            </w:tcMar>
          </w:tcPr>
          <w:p>
            <w:r>
              <w:rPr>
                <w:b w:val="false"/>
                <w:bCs w:val="false"/>
                <w:sz w:val="20"/>
                <w:szCs w:val="20"/>
              </w:rPr>
              <w:t xml:space="preserve">Practice Root</w:t>
            </w:r>
          </w:p>
        </w:tc>
        <w:tc>
          <w:tcPr>
            <w:tcW w:type="dxa" w:w="4176"/>
            <w:tcMar>
              <w:top w:type="dxa" w:w="80"/>
              <w:left w:type="dxa" w:w="100"/>
              <w:bottom w:type="dxa" w:w="80"/>
              <w:right w:type="dxa" w:w="100"/>
            </w:tcMar>
          </w:tcPr>
          <w:p>
            <w:r>
              <w:rPr>
                <w:b w:val="false"/>
                <w:bCs w:val="false"/>
                <w:sz w:val="20"/>
                <w:szCs w:val="20"/>
              </w:rPr>
              <w:t xml:space="preserve">Which narrower family bounds this specific chain once Authority is established</w:t>
            </w:r>
          </w:p>
        </w:tc>
        <w:tc>
          <w:tcPr>
            <w:tcW w:type="dxa" w:w="3600"/>
            <w:tcMar>
              <w:top w:type="dxa" w:w="80"/>
              <w:left w:type="dxa" w:w="100"/>
              <w:bottom w:type="dxa" w:w="80"/>
              <w:right w:type="dxa" w:w="100"/>
            </w:tcMar>
          </w:tcPr>
          <w:p>
            <w:r>
              <w:rPr>
                <w:b w:val="false"/>
                <w:bCs w:val="false"/>
                <w:sz w:val="20"/>
                <w:szCs w:val="20"/>
              </w:rPr>
              <w:t xml:space="preserve">Sword Focus</w:t>
            </w:r>
          </w:p>
        </w:tc>
      </w:tr>
      <w:tr>
        <w:tc>
          <w:tcPr>
            <w:tcW w:type="dxa" w:w="2160"/>
            <w:tcMar>
              <w:top w:type="dxa" w:w="80"/>
              <w:left w:type="dxa" w:w="100"/>
              <w:bottom w:type="dxa" w:w="80"/>
              <w:right w:type="dxa" w:w="100"/>
            </w:tcMar>
          </w:tcPr>
          <w:p>
            <w:r>
              <w:rPr>
                <w:b w:val="false"/>
                <w:bCs w:val="false"/>
                <w:sz w:val="20"/>
                <w:szCs w:val="20"/>
              </w:rPr>
              <w:t xml:space="preserve">Fusion Root</w:t>
            </w:r>
          </w:p>
        </w:tc>
        <w:tc>
          <w:tcPr>
            <w:tcW w:type="dxa" w:w="4176"/>
            <w:tcMar>
              <w:top w:type="dxa" w:w="80"/>
              <w:left w:type="dxa" w:w="100"/>
              <w:bottom w:type="dxa" w:w="80"/>
              <w:right w:type="dxa" w:w="100"/>
            </w:tcMar>
          </w:tcPr>
          <w:p>
            <w:r>
              <w:rPr>
                <w:b w:val="false"/>
                <w:bCs w:val="false"/>
                <w:sz w:val="20"/>
                <w:szCs w:val="20"/>
              </w:rPr>
              <w:t xml:space="preserve">What even-narrower compound practice governs everything downstream once a Fusion has occurred</w:t>
            </w:r>
          </w:p>
        </w:tc>
        <w:tc>
          <w:tcPr>
            <w:tcW w:type="dxa" w:w="3600"/>
            <w:tcMar>
              <w:top w:type="dxa" w:w="80"/>
              <w:left w:type="dxa" w:w="100"/>
              <w:bottom w:type="dxa" w:w="80"/>
              <w:right w:type="dxa" w:w="100"/>
            </w:tcMar>
          </w:tcPr>
          <w:p>
            <w:r>
              <w:rPr>
                <w:b w:val="false"/>
                <w:bCs w:val="false"/>
                <w:sz w:val="20"/>
                <w:szCs w:val="20"/>
              </w:rPr>
              <w:t xml:space="preserve">Offensive Sword Discipline</w:t>
            </w:r>
          </w:p>
        </w:tc>
      </w:tr>
    </w:tbl>
    <w:p>
      <w:pPr>
        <w:spacing w:after="160"/>
      </w:pPr>
      <w:r>
        <w:rPr>
          <w:b w:val="false"/>
          <w:bCs w:val="false"/>
          <w:i w:val="false"/>
          <w:iCs w:val="false"/>
        </w:rPr>
        <w:t xml:space="preserve">Confirmed explicitly in conversation: Authority Root is not limited to Skills. A Class (its named Core Feature) or a Trait can equally hold authority to write an effect — a Warrior Feat such as Guts draws its Authority Root from the Warrior class itself, not from any one Skill. Once Authority is set, Practice Root and Fusion Root are what keep the resulting chain conceptually honest as it grows.</w:t>
      </w:r>
    </w:p>
    <w:p>
      <w:pPr>
        <w:pStyle w:val="Heading2"/>
        <w:spacing w:after="120" w:before="260"/>
      </w:pPr>
      <w:r>
        <w:t xml:space="preserve">6.5 Fusion is one of five named, bounded operators</w:t>
      </w:r>
    </w:p>
    <w:p>
      <w:pPr>
        <w:spacing w:after="160"/>
      </w:pPr>
      <w:r>
        <w:rPr>
          <w:b w:val="false"/>
          <w:bCs w:val="false"/>
          <w:i w:val="false"/>
          <w:iCs w:val="false"/>
        </w:rPr>
        <w:t xml:space="preserve">Fusion is not an opaque author-written black box. Every Fusion purchase must declare which of five legal operators produced it, each with its own boundary: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60"/>
        <w:gridCol w:w="4176"/>
        <w:gridCol w:w="3600"/>
      </w:tblGrid>
      <w:tr>
        <w:trPr>
          <w:tblHeader/>
        </w:trPr>
        <w:tc>
          <w:tcPr>
            <w:tcW w:type="dxa" w:w="2160"/>
            <w:shd w:fill="E7E6E6" w:color="auto" w:val="clear"/>
            <w:tcMar>
              <w:top w:type="dxa" w:w="80"/>
              <w:left w:type="dxa" w:w="100"/>
              <w:bottom w:type="dxa" w:w="80"/>
              <w:right w:type="dxa" w:w="100"/>
            </w:tcMar>
          </w:tcPr>
          <w:p>
            <w:r>
              <w:rPr>
                <w:b/>
                <w:bCs/>
                <w:sz w:val="20"/>
                <w:szCs w:val="20"/>
              </w:rPr>
              <w:t xml:space="preserve">Operator</w:t>
            </w:r>
          </w:p>
        </w:tc>
        <w:tc>
          <w:tcPr>
            <w:tcW w:type="dxa" w:w="4176"/>
            <w:shd w:fill="E7E6E6" w:color="auto" w:val="clear"/>
            <w:tcMar>
              <w:top w:type="dxa" w:w="80"/>
              <w:left w:type="dxa" w:w="100"/>
              <w:bottom w:type="dxa" w:w="80"/>
              <w:right w:type="dxa" w:w="100"/>
            </w:tcMar>
          </w:tcPr>
          <w:p>
            <w:r>
              <w:rPr>
                <w:b/>
                <w:bCs/>
                <w:sz w:val="20"/>
                <w:szCs w:val="20"/>
              </w:rPr>
              <w:t xml:space="preserve">Result pattern</w:t>
            </w:r>
          </w:p>
        </w:tc>
        <w:tc>
          <w:tcPr>
            <w:tcW w:type="dxa" w:w="3600"/>
            <w:shd w:fill="E7E6E6" w:color="auto" w:val="clear"/>
            <w:tcMar>
              <w:top w:type="dxa" w:w="80"/>
              <w:left w:type="dxa" w:w="100"/>
              <w:bottom w:type="dxa" w:w="80"/>
              <w:right w:type="dxa" w:w="100"/>
            </w:tcMar>
          </w:tcPr>
          <w:p>
            <w:r>
              <w:rPr>
                <w:b/>
                <w:bCs/>
                <w:sz w:val="20"/>
                <w:szCs w:val="20"/>
              </w:rPr>
              <w:t xml:space="preserve">Boundary</w:t>
            </w:r>
          </w:p>
        </w:tc>
      </w:tr>
      <w:tr>
        <w:tc>
          <w:tcPr>
            <w:tcW w:type="dxa" w:w="2160"/>
            <w:tcMar>
              <w:top w:type="dxa" w:w="80"/>
              <w:left w:type="dxa" w:w="100"/>
              <w:bottom w:type="dxa" w:w="80"/>
              <w:right w:type="dxa" w:w="100"/>
            </w:tcMar>
          </w:tcPr>
          <w:p>
            <w:r>
              <w:rPr>
                <w:b w:val="false"/>
                <w:bCs w:val="false"/>
                <w:sz w:val="20"/>
                <w:szCs w:val="20"/>
              </w:rPr>
              <w:t xml:space="preserve">Compression</w:t>
            </w:r>
          </w:p>
        </w:tc>
        <w:tc>
          <w:tcPr>
            <w:tcW w:type="dxa" w:w="4176"/>
            <w:tcMar>
              <w:top w:type="dxa" w:w="80"/>
              <w:left w:type="dxa" w:w="100"/>
              <w:bottom w:type="dxa" w:w="80"/>
              <w:right w:type="dxa" w:w="100"/>
            </w:tcMar>
          </w:tcPr>
          <w:p>
            <w:r>
              <w:rPr>
                <w:b w:val="false"/>
                <w:bCs w:val="false"/>
                <w:sz w:val="20"/>
                <w:szCs w:val="20"/>
              </w:rPr>
              <w:t xml:space="preserve">Sword attack + Sword defense → one Sword attack-and-defense Perk</w:t>
            </w:r>
          </w:p>
        </w:tc>
        <w:tc>
          <w:tcPr>
            <w:tcW w:type="dxa" w:w="3600"/>
            <w:tcMar>
              <w:top w:type="dxa" w:w="80"/>
              <w:left w:type="dxa" w:w="100"/>
              <w:bottom w:type="dxa" w:w="80"/>
              <w:right w:type="dxa" w:w="100"/>
            </w:tcMar>
          </w:tcPr>
          <w:p>
            <w:r>
              <w:rPr>
                <w:b w:val="false"/>
                <w:bCs w:val="false"/>
                <w:sz w:val="20"/>
                <w:szCs w:val="20"/>
              </w:rPr>
              <w:t xml:space="preserve">Only same-Root, same-trigger, same-axis effects may compress</w:t>
            </w:r>
          </w:p>
        </w:tc>
      </w:tr>
      <w:tr>
        <w:tc>
          <w:tcPr>
            <w:tcW w:type="dxa" w:w="2160"/>
            <w:tcMar>
              <w:top w:type="dxa" w:w="80"/>
              <w:left w:type="dxa" w:w="100"/>
              <w:bottom w:type="dxa" w:w="80"/>
              <w:right w:type="dxa" w:w="100"/>
            </w:tcMar>
          </w:tcPr>
          <w:p>
            <w:r>
              <w:rPr>
                <w:b w:val="false"/>
                <w:bCs w:val="false"/>
                <w:sz w:val="20"/>
                <w:szCs w:val="20"/>
              </w:rPr>
              <w:t xml:space="preserve">Numerical progression</w:t>
            </w:r>
          </w:p>
        </w:tc>
        <w:tc>
          <w:tcPr>
            <w:tcW w:type="dxa" w:w="4176"/>
            <w:tcMar>
              <w:top w:type="dxa" w:w="80"/>
              <w:left w:type="dxa" w:w="100"/>
              <w:bottom w:type="dxa" w:w="80"/>
              <w:right w:type="dxa" w:w="100"/>
            </w:tcMar>
          </w:tcPr>
          <w:p>
            <w:r>
              <w:rPr>
                <w:b w:val="false"/>
                <w:bCs w:val="false"/>
                <w:sz w:val="20"/>
                <w:szCs w:val="20"/>
              </w:rPr>
              <w:t xml:space="preserve">Repeated values advance a ladder (+1 → +3 → +6 → +10)</w:t>
            </w:r>
          </w:p>
        </w:tc>
        <w:tc>
          <w:tcPr>
            <w:tcW w:type="dxa" w:w="3600"/>
            <w:tcMar>
              <w:top w:type="dxa" w:w="80"/>
              <w:left w:type="dxa" w:w="100"/>
              <w:bottom w:type="dxa" w:w="80"/>
              <w:right w:type="dxa" w:w="100"/>
            </w:tcMar>
          </w:tcPr>
          <w:p>
            <w:r>
              <w:rPr>
                <w:b w:val="false"/>
                <w:bCs w:val="false"/>
                <w:sz w:val="20"/>
                <w:szCs w:val="20"/>
              </w:rPr>
              <w:t xml:space="preserve">Pool normalized values only; unlike raw bonuses never add directly</w:t>
            </w:r>
          </w:p>
        </w:tc>
      </w:tr>
      <w:tr>
        <w:tc>
          <w:tcPr>
            <w:tcW w:type="dxa" w:w="2160"/>
            <w:tcMar>
              <w:top w:type="dxa" w:w="80"/>
              <w:left w:type="dxa" w:w="100"/>
              <w:bottom w:type="dxa" w:w="80"/>
              <w:right w:type="dxa" w:w="100"/>
            </w:tcMar>
          </w:tcPr>
          <w:p>
            <w:r>
              <w:rPr>
                <w:b w:val="false"/>
                <w:bCs w:val="false"/>
                <w:sz w:val="20"/>
                <w:szCs w:val="20"/>
              </w:rPr>
              <w:t xml:space="preserve">Feature progression</w:t>
            </w:r>
          </w:p>
        </w:tc>
        <w:tc>
          <w:tcPr>
            <w:tcW w:type="dxa" w:w="4176"/>
            <w:tcMar>
              <w:top w:type="dxa" w:w="80"/>
              <w:left w:type="dxa" w:w="100"/>
              <w:bottom w:type="dxa" w:w="80"/>
              <w:right w:type="dxa" w:w="100"/>
            </w:tcMar>
          </w:tcPr>
          <w:p>
            <w:r>
              <w:rPr>
                <w:b w:val="false"/>
                <w:bCs w:val="false"/>
                <w:sz w:val="20"/>
                <w:szCs w:val="20"/>
              </w:rPr>
              <w:t xml:space="preserve">Dual wield short weapons → dual wield medium weapons</w:t>
            </w:r>
          </w:p>
        </w:tc>
        <w:tc>
          <w:tcPr>
            <w:tcW w:type="dxa" w:w="3600"/>
            <w:tcMar>
              <w:top w:type="dxa" w:w="80"/>
              <w:left w:type="dxa" w:w="100"/>
              <w:bottom w:type="dxa" w:w="80"/>
              <w:right w:type="dxa" w:w="100"/>
            </w:tcMar>
          </w:tcPr>
          <w:p>
            <w:r>
              <w:rPr>
                <w:b w:val="false"/>
                <w:bCs w:val="false"/>
                <w:sz w:val="20"/>
                <w:szCs w:val="20"/>
              </w:rPr>
              <w:t xml:space="preserve">Only natural sequences; later steps add real requirements (Strength, Agility, Skill)</w:t>
            </w:r>
          </w:p>
        </w:tc>
      </w:tr>
      <w:tr>
        <w:tc>
          <w:tcPr>
            <w:tcW w:type="dxa" w:w="2160"/>
            <w:tcMar>
              <w:top w:type="dxa" w:w="80"/>
              <w:left w:type="dxa" w:w="100"/>
              <w:bottom w:type="dxa" w:w="80"/>
              <w:right w:type="dxa" w:w="100"/>
            </w:tcMar>
          </w:tcPr>
          <w:p>
            <w:r>
              <w:rPr>
                <w:b w:val="false"/>
                <w:bCs w:val="false"/>
                <w:sz w:val="20"/>
                <w:szCs w:val="20"/>
              </w:rPr>
              <w:t xml:space="preserve">Transformative conversion</w:t>
            </w:r>
          </w:p>
        </w:tc>
        <w:tc>
          <w:tcPr>
            <w:tcW w:type="dxa" w:w="4176"/>
            <w:tcMar>
              <w:top w:type="dxa" w:w="80"/>
              <w:left w:type="dxa" w:w="100"/>
              <w:bottom w:type="dxa" w:w="80"/>
              <w:right w:type="dxa" w:w="100"/>
            </w:tcMar>
          </w:tcPr>
          <w:p>
            <w:r>
              <w:rPr>
                <w:b w:val="false"/>
                <w:bCs w:val="false"/>
                <w:sz w:val="20"/>
                <w:szCs w:val="20"/>
              </w:rPr>
              <w:t xml:space="preserve">Fox ears + fox nose + fox magic → Fox Beastification → Animal Shape: Fox</w:t>
            </w:r>
          </w:p>
        </w:tc>
        <w:tc>
          <w:tcPr>
            <w:tcW w:type="dxa" w:w="3600"/>
            <w:tcMar>
              <w:top w:type="dxa" w:w="80"/>
              <w:left w:type="dxa" w:w="100"/>
              <w:bottom w:type="dxa" w:w="80"/>
              <w:right w:type="dxa" w:w="100"/>
            </w:tcMar>
          </w:tcPr>
          <w:p>
            <w:r>
              <w:rPr>
                <w:b w:val="false"/>
                <w:bCs w:val="false"/>
                <w:sz w:val="20"/>
                <w:szCs w:val="20"/>
              </w:rPr>
              <w:t xml:space="preserve">Terminal — see §6.7. Uses its own conversion formula, not ordinary Fusion accounting</w:t>
            </w:r>
          </w:p>
        </w:tc>
      </w:tr>
      <w:tr>
        <w:tc>
          <w:tcPr>
            <w:tcW w:type="dxa" w:w="2160"/>
            <w:tcMar>
              <w:top w:type="dxa" w:w="80"/>
              <w:left w:type="dxa" w:w="100"/>
              <w:bottom w:type="dxa" w:w="80"/>
              <w:right w:type="dxa" w:w="100"/>
            </w:tcMar>
          </w:tcPr>
          <w:p>
            <w:r>
              <w:rPr>
                <w:b w:val="false"/>
                <w:bCs w:val="false"/>
                <w:sz w:val="20"/>
                <w:szCs w:val="20"/>
              </w:rPr>
              <w:t xml:space="preserve">Glue</w:t>
            </w:r>
          </w:p>
        </w:tc>
        <w:tc>
          <w:tcPr>
            <w:tcW w:type="dxa" w:w="4176"/>
            <w:tcMar>
              <w:top w:type="dxa" w:w="80"/>
              <w:left w:type="dxa" w:w="100"/>
              <w:bottom w:type="dxa" w:w="80"/>
              <w:right w:type="dxa" w:w="100"/>
            </w:tcMar>
          </w:tcPr>
          <w:p>
            <w:r>
              <w:rPr>
                <w:b w:val="false"/>
                <w:bCs w:val="false"/>
                <w:sz w:val="20"/>
                <w:szCs w:val="20"/>
              </w:rPr>
              <w:t xml:space="preserve">Prepared Magic and Archery lines converge so Archery may modify a named part of Magic Arrow casting</w:t>
            </w:r>
          </w:p>
        </w:tc>
        <w:tc>
          <w:tcPr>
            <w:tcW w:type="dxa" w:w="3600"/>
            <w:tcMar>
              <w:top w:type="dxa" w:w="80"/>
              <w:left w:type="dxa" w:w="100"/>
              <w:bottom w:type="dxa" w:w="80"/>
              <w:right w:type="dxa" w:w="100"/>
            </w:tcMar>
          </w:tcPr>
          <w:p>
            <w:r>
              <w:rPr>
                <w:b w:val="false"/>
                <w:bCs w:val="false"/>
                <w:sz w:val="20"/>
                <w:szCs w:val="20"/>
              </w:rPr>
              <w:t xml:space="preserve">Recognizes existing systems only; never invents their actions or removes their risk</w:t>
            </w:r>
          </w:p>
        </w:tc>
      </w:tr>
    </w:tbl>
    <w:p>
      <w:pPr>
        <w:spacing w:after="160"/>
      </w:pPr>
      <w:r>
        <w:rPr>
          <w:b w:val="false"/>
          <w:bCs w:val="false"/>
          <w:i w:val="false"/>
          <w:iCs w:val="false"/>
        </w:rPr>
        <w:t xml:space="preserve">A trivial arithmetic Fusion (+1/+1 attack-and-defense Perks combining into flat +2/+2) is legal under Numerical progression but is explicitly flagged as a design failure in the Balance GDD's warning list — a Fusion must show conserved parent value plus a separate, visible wrapper reward, not just addition.</w:t>
      </w:r>
    </w:p>
    <w:p>
      <w:pPr>
        <w:pStyle w:val="Heading2"/>
        <w:spacing w:after="120" w:before="260"/>
      </w:pPr>
      <w:r>
        <w:t xml:space="preserve">6.6 Every Fusion parent gets one of four dispositions</w:t>
      </w:r>
    </w:p>
    <w:tbl>
      <w:tblPr>
        <w:tblW w:type="dxa" w:w="9935"/>
        <w:tblBorders>
          <w:top w:val="single" w:color="auto" w:sz="4"/>
          <w:left w:val="single" w:color="auto" w:sz="4"/>
          <w:bottom w:val="single" w:color="auto" w:sz="4"/>
          <w:right w:val="single" w:color="auto" w:sz="4"/>
          <w:insideH w:val="single" w:color="auto" w:sz="4"/>
          <w:insideV w:val="single" w:color="auto" w:sz="4"/>
        </w:tblBorders>
      </w:tblPr>
      <w:tblGrid>
        <w:gridCol w:w="2304"/>
        <w:gridCol w:w="4176"/>
        <w:gridCol w:w="3455"/>
      </w:tblGrid>
      <w:tr>
        <w:trPr>
          <w:tblHeader/>
        </w:trPr>
        <w:tc>
          <w:tcPr>
            <w:tcW w:type="dxa" w:w="2304"/>
            <w:shd w:fill="E7E6E6" w:color="auto" w:val="clear"/>
            <w:tcMar>
              <w:top w:type="dxa" w:w="80"/>
              <w:left w:type="dxa" w:w="100"/>
              <w:bottom w:type="dxa" w:w="80"/>
              <w:right w:type="dxa" w:w="100"/>
            </w:tcMar>
          </w:tcPr>
          <w:p>
            <w:r>
              <w:rPr>
                <w:b/>
                <w:bCs/>
                <w:sz w:val="20"/>
                <w:szCs w:val="20"/>
              </w:rPr>
              <w:t xml:space="preserve">Disposition</w:t>
            </w:r>
          </w:p>
        </w:tc>
        <w:tc>
          <w:tcPr>
            <w:tcW w:type="dxa" w:w="4176"/>
            <w:shd w:fill="E7E6E6" w:color="auto" w:val="clear"/>
            <w:tcMar>
              <w:top w:type="dxa" w:w="80"/>
              <w:left w:type="dxa" w:w="100"/>
              <w:bottom w:type="dxa" w:w="80"/>
              <w:right w:type="dxa" w:w="100"/>
            </w:tcMar>
          </w:tcPr>
          <w:p>
            <w:r>
              <w:rPr>
                <w:b/>
                <w:bCs/>
                <w:sz w:val="20"/>
                <w:szCs w:val="20"/>
              </w:rPr>
              <w:t xml:space="preserve">Effect on Fusion</w:t>
            </w:r>
          </w:p>
        </w:tc>
        <w:tc>
          <w:tcPr>
            <w:tcW w:type="dxa" w:w="3455"/>
            <w:shd w:fill="E7E6E6" w:color="auto" w:val="clear"/>
            <w:tcMar>
              <w:top w:type="dxa" w:w="80"/>
              <w:left w:type="dxa" w:w="100"/>
              <w:bottom w:type="dxa" w:w="80"/>
              <w:right w:type="dxa" w:w="100"/>
            </w:tcMar>
          </w:tcPr>
          <w:p>
            <w:r>
              <w:rPr>
                <w:b/>
                <w:bCs/>
                <w:sz w:val="20"/>
                <w:szCs w:val="20"/>
              </w:rPr>
              <w:t xml:space="preserve">Effect on old Feat</w:t>
            </w:r>
          </w:p>
        </w:tc>
      </w:tr>
      <w:tr>
        <w:tc>
          <w:tcPr>
            <w:tcW w:type="dxa" w:w="2304"/>
            <w:tcMar>
              <w:top w:type="dxa" w:w="80"/>
              <w:left w:type="dxa" w:w="100"/>
              <w:bottom w:type="dxa" w:w="80"/>
              <w:right w:type="dxa" w:w="100"/>
            </w:tcMar>
          </w:tcPr>
          <w:p>
            <w:r>
              <w:rPr>
                <w:b w:val="false"/>
                <w:bCs w:val="false"/>
                <w:sz w:val="20"/>
                <w:szCs w:val="20"/>
              </w:rPr>
              <w:t xml:space="preserve">Integrated</w:t>
            </w:r>
          </w:p>
        </w:tc>
        <w:tc>
          <w:tcPr>
            <w:tcW w:type="dxa" w:w="4176"/>
            <w:tcMar>
              <w:top w:type="dxa" w:w="80"/>
              <w:left w:type="dxa" w:w="100"/>
              <w:bottom w:type="dxa" w:w="80"/>
              <w:right w:type="dxa" w:w="100"/>
            </w:tcMar>
          </w:tcPr>
          <w:p>
            <w:r>
              <w:rPr>
                <w:b w:val="false"/>
                <w:bCs w:val="false"/>
                <w:sz w:val="20"/>
                <w:szCs w:val="20"/>
              </w:rPr>
              <w:t xml:space="preserve">Perks enter the conserved result; may be compressed, advanced, transformed, or glued</w:t>
            </w:r>
          </w:p>
        </w:tc>
        <w:tc>
          <w:tcPr>
            <w:tcW w:type="dxa" w:w="3455"/>
            <w:tcMar>
              <w:top w:type="dxa" w:w="80"/>
              <w:left w:type="dxa" w:w="100"/>
              <w:bottom w:type="dxa" w:w="80"/>
              <w:right w:type="dxa" w:w="100"/>
            </w:tcMar>
          </w:tcPr>
          <w:p>
            <w:r>
              <w:rPr>
                <w:b w:val="false"/>
                <w:bCs w:val="false"/>
                <w:sz w:val="20"/>
                <w:szCs w:val="20"/>
              </w:rPr>
              <w:t xml:space="preserve">Migrated Perks are replaced; an emptied Header retires</w:t>
            </w:r>
          </w:p>
        </w:tc>
      </w:tr>
      <w:tr>
        <w:tc>
          <w:tcPr>
            <w:tcW w:type="dxa" w:w="2304"/>
            <w:tcMar>
              <w:top w:type="dxa" w:w="80"/>
              <w:left w:type="dxa" w:w="100"/>
              <w:bottom w:type="dxa" w:w="80"/>
              <w:right w:type="dxa" w:w="100"/>
            </w:tcMar>
          </w:tcPr>
          <w:p>
            <w:r>
              <w:rPr>
                <w:b w:val="false"/>
                <w:bCs w:val="false"/>
                <w:sz w:val="20"/>
                <w:szCs w:val="20"/>
              </w:rPr>
              <w:t xml:space="preserve">Prerequisite-only</w:t>
            </w:r>
          </w:p>
        </w:tc>
        <w:tc>
          <w:tcPr>
            <w:tcW w:type="dxa" w:w="4176"/>
            <w:tcMar>
              <w:top w:type="dxa" w:w="80"/>
              <w:left w:type="dxa" w:w="100"/>
              <w:bottom w:type="dxa" w:w="80"/>
              <w:right w:type="dxa" w:w="100"/>
            </w:tcMar>
          </w:tcPr>
          <w:p>
            <w:r>
              <w:rPr>
                <w:b w:val="false"/>
                <w:bCs w:val="false"/>
                <w:sz w:val="20"/>
                <w:szCs w:val="20"/>
              </w:rPr>
              <w:t xml:space="preserve">Qualifies the purchase but contributes no value or authority to the result</w:t>
            </w:r>
          </w:p>
        </w:tc>
        <w:tc>
          <w:tcPr>
            <w:tcW w:type="dxa" w:w="3455"/>
            <w:tcMar>
              <w:top w:type="dxa" w:w="80"/>
              <w:left w:type="dxa" w:w="100"/>
              <w:bottom w:type="dxa" w:w="80"/>
              <w:right w:type="dxa" w:w="100"/>
            </w:tcMar>
          </w:tcPr>
          <w:p>
            <w:r>
              <w:rPr>
                <w:b w:val="false"/>
                <w:bCs w:val="false"/>
                <w:sz w:val="20"/>
                <w:szCs w:val="20"/>
              </w:rPr>
              <w:t xml:space="preserve">Remains active and unchanged</w:t>
            </w:r>
          </w:p>
        </w:tc>
      </w:tr>
      <w:tr>
        <w:tc>
          <w:tcPr>
            <w:tcW w:type="dxa" w:w="2304"/>
            <w:tcMar>
              <w:top w:type="dxa" w:w="80"/>
              <w:left w:type="dxa" w:w="100"/>
              <w:bottom w:type="dxa" w:w="80"/>
              <w:right w:type="dxa" w:w="100"/>
            </w:tcMar>
          </w:tcPr>
          <w:p>
            <w:r>
              <w:rPr>
                <w:b w:val="false"/>
                <w:bCs w:val="false"/>
                <w:sz w:val="20"/>
                <w:szCs w:val="20"/>
              </w:rPr>
              <w:t xml:space="preserve">Deferred branch seed</w:t>
            </w:r>
          </w:p>
        </w:tc>
        <w:tc>
          <w:tcPr>
            <w:tcW w:type="dxa" w:w="4176"/>
            <w:tcMar>
              <w:top w:type="dxa" w:w="80"/>
              <w:left w:type="dxa" w:w="100"/>
              <w:bottom w:type="dxa" w:w="80"/>
              <w:right w:type="dxa" w:w="100"/>
            </w:tcMar>
          </w:tcPr>
          <w:p>
            <w:r>
              <w:rPr>
                <w:b w:val="false"/>
                <w:bCs w:val="false"/>
                <w:sz w:val="20"/>
                <w:szCs w:val="20"/>
              </w:rPr>
              <w:t xml:space="preserve">Doesn't fit the current purpose but is deliberately reserved for a later upgrade</w:t>
            </w:r>
          </w:p>
        </w:tc>
        <w:tc>
          <w:tcPr>
            <w:tcW w:type="dxa" w:w="3455"/>
            <w:tcMar>
              <w:top w:type="dxa" w:w="80"/>
              <w:left w:type="dxa" w:w="100"/>
              <w:bottom w:type="dxa" w:w="80"/>
              <w:right w:type="dxa" w:w="100"/>
            </w:tcMar>
          </w:tcPr>
          <w:p>
            <w:r>
              <w:rPr>
                <w:b w:val="false"/>
                <w:bCs w:val="false"/>
                <w:sz w:val="20"/>
                <w:szCs w:val="20"/>
              </w:rPr>
              <w:t xml:space="preserve">Remains active until that later purchase advances it</w:t>
            </w:r>
          </w:p>
        </w:tc>
      </w:tr>
      <w:tr>
        <w:tc>
          <w:tcPr>
            <w:tcW w:type="dxa" w:w="2304"/>
            <w:tcMar>
              <w:top w:type="dxa" w:w="80"/>
              <w:left w:type="dxa" w:w="100"/>
              <w:bottom w:type="dxa" w:w="80"/>
              <w:right w:type="dxa" w:w="100"/>
            </w:tcMar>
          </w:tcPr>
          <w:p>
            <w:r>
              <w:rPr>
                <w:b w:val="false"/>
                <w:bCs w:val="false"/>
                <w:sz w:val="20"/>
                <w:szCs w:val="20"/>
              </w:rPr>
              <w:t xml:space="preserve">Rejected</w:t>
            </w:r>
          </w:p>
        </w:tc>
        <w:tc>
          <w:tcPr>
            <w:tcW w:type="dxa" w:w="4176"/>
            <w:tcMar>
              <w:top w:type="dxa" w:w="80"/>
              <w:left w:type="dxa" w:w="100"/>
              <w:bottom w:type="dxa" w:w="80"/>
              <w:right w:type="dxa" w:w="100"/>
            </w:tcMar>
          </w:tcPr>
          <w:p>
            <w:r>
              <w:rPr>
                <w:b w:val="false"/>
                <w:bCs w:val="false"/>
                <w:sz w:val="20"/>
                <w:szCs w:val="20"/>
              </w:rPr>
              <w:t xml:space="preserve">Neither qualifies nor contributes</w:t>
            </w:r>
          </w:p>
        </w:tc>
        <w:tc>
          <w:tcPr>
            <w:tcW w:type="dxa" w:w="3455"/>
            <w:tcMar>
              <w:top w:type="dxa" w:w="80"/>
              <w:left w:type="dxa" w:w="100"/>
              <w:bottom w:type="dxa" w:w="80"/>
              <w:right w:type="dxa" w:w="100"/>
            </w:tcMar>
          </w:tcPr>
          <w:p>
            <w:r>
              <w:rPr>
                <w:b w:val="false"/>
                <w:bCs w:val="false"/>
                <w:sz w:val="20"/>
                <w:szCs w:val="20"/>
              </w:rPr>
              <w:t xml:space="preserve">Should not appear in the requirement list at all</w:t>
            </w:r>
          </w:p>
        </w:tc>
      </w:tr>
    </w:tbl>
    <w:p>
      <w:pPr>
        <w:spacing w:after="160"/>
      </w:pPr>
      <w:r>
        <w:rPr>
          <w:b w:val="false"/>
          <w:bCs w:val="false"/>
          <w:i w:val="false"/>
          <w:iCs w:val="false"/>
        </w:rPr>
        <w:t xml:space="preserve">A Perk has one active Header owner at a time. Fusion replaces or migrates it; it never copies it. This replaces the savepoint v0.1 model of Fusion as a simple binary retire/keep.</w:t>
      </w:r>
    </w:p>
    <w:p>
      <w:pPr>
        <w:pStyle w:val="Heading2"/>
        <w:spacing w:after="120" w:before="260"/>
      </w:pPr>
      <w:r>
        <w:t xml:space="preserve">6.7 Feat job and the Boundary field</w:t>
      </w:r>
    </w:p>
    <w:p>
      <w:pPr>
        <w:spacing w:after="160"/>
      </w:pPr>
      <w:r>
        <w:rPr>
          <w:b w:val="false"/>
          <w:bCs w:val="false"/>
          <w:i w:val="false"/>
          <w:iCs w:val="false"/>
        </w:rPr>
        <w:t xml:space="preserve">Every Feat must declare a job — Progress (raises a rank, coverage, reliability, or permitted feature within the same Root), Glue (makes two existing systems recognize each other in one named relationship), or Simplification (recompiles mature Perks so density falls without hiding value). And every Perk and Feat carries a Boundary: an explicit statement of the nearest thing it does NOT grant. The worked Arcane Arrow example models this precisely — its hard exclusions (no free casting, no Archery roll, no physical arrow, no defense restoration) are as load-bearing as what it does grant.</w:t>
      </w:r>
    </w:p>
    <w:p>
      <w:pPr>
        <w:pBdr>
          <w:left w:val="single" w:color="999999" w:sz="12" w:space="8"/>
        </w:pBdr>
        <w:spacing w:after="200" w:before="100"/>
        <w:ind w:left="200"/>
      </w:pPr>
      <w:r>
        <w:rPr>
          <w:i/>
          <w:iCs/>
        </w:rPr>
        <w:t xml:space="preserve">Product consequence: the Boundary field renders directly on the node card in the player UI, next to the grant text. This is not author-only bookkeeping — it's what stops a player from over-reading a Feat's scope, and it should be treated as required content, not optional flavor.</w:t>
      </w:r>
    </w:p>
    <w:p>
      <w:pPr>
        <w:pStyle w:val="Heading2"/>
        <w:spacing w:after="120" w:before="260"/>
      </w:pPr>
      <w:r>
        <w:t xml:space="preserve">6.8 Transformative conversion into a Trait is terminal</w:t>
      </w:r>
    </w:p>
    <w:p>
      <w:pPr>
        <w:spacing w:after="160"/>
      </w:pPr>
      <w:r>
        <w:rPr>
          <w:b w:val="false"/>
          <w:bCs w:val="false"/>
          <w:i w:val="false"/>
          <w:iCs w:val="false"/>
        </w:rPr>
        <w:t xml:space="preserve">Unlike ordinary Fusion, converting a mature Feat chain into a Trait does not conserve value under the normal wrapper-reward accounting. Contributing Feats and Headers retire; their CP history is kept only as provenance, not as transferred mechanical value. The new Trait is authored fresh, with its own abilities, passives, and — importantly — its own new flaws, which may differ entirely from the old chain's limitations (a lycanthrope trading night-blindness for silver vulnerability, not keeping the old limit). A CP refund exists only if the conversion explicitly grants one.</w:t>
      </w:r>
    </w:p>
    <w:p>
      <w:pPr>
        <w:spacing w:after="160"/>
      </w:pPr>
      <w:r>
        <w:rPr>
          <w:b w:val="false"/>
          <w:bCs w:val="false"/>
          <w:i w:val="false"/>
          <w:iCs w:val="false"/>
        </w:rPr>
        <w:t xml:space="preserve">Schema treatment: this is modeled as a Fusion record with operator = Transformative conversion and a target_trait_id, rather than as a sixth object type — it reuses the same parent-disposition and ledger machinery as any other Fusion, differing only in payout accounting. The UI should still mark it as visually distinct (a one-way conversion, not a reversible purchase), since the design intent is explicitly that this trades familiar advantages for something new and initially awkward.</w:t>
      </w:r>
    </w:p>
    <w:p>
      <w:pPr>
        <w:pStyle w:val="Heading2"/>
        <w:spacing w:after="120" w:before="260"/>
      </w:pPr>
      <w:r>
        <w:t xml:space="preserve">6.9 Backward authoring is the authoring model</w:t>
      </w:r>
    </w:p>
    <w:p>
      <w:pPr>
        <w:spacing w:after="160"/>
      </w:pPr>
      <w:r>
        <w:rPr>
          <w:b w:val="false"/>
          <w:bCs w:val="false"/>
          <w:i w:val="false"/>
          <w:iCs w:val="false"/>
        </w:rPr>
        <w:t xml:space="preserve">The author does not build forward from small Perks hoping something interesting emerges. The workflow is: declare a capstone concept and its Authority Root (e.g. “Last Stand — a knight refuses to fall,” rooted in the Knight class) → name the effect states it needs (threshold trigger at low HP, a resistance-tier bump, Glue into the existing death/faint roll) → the tool walks down the existing graph showing which Perks already satisfy each named state and where the chain has gaps → the author fills gaps by authoring new Perks at the correct derived tier, under the correct Practice Root.</w:t>
      </w:r>
    </w:p>
    <w:p>
      <w:pPr>
        <w:spacing w:after="160"/>
      </w:pPr>
      <w:r>
        <w:rPr>
          <w:b w:val="false"/>
          <w:bCs w:val="false"/>
          <w:i w:val="false"/>
          <w:iCs w:val="false"/>
        </w:rPr>
        <w:t xml:space="preserve">The same downward-then-upward traversal serves both audiences: the author walks it top-down while authoring; the player walks the identical edges bottom-up when they click a target node and receive its requirement closure. There is one graph, one edge type, two directions of travel.</w:t>
      </w:r>
    </w:p>
    <w:p>
      <w:pPr>
        <w:pBdr>
          <w:left w:val="single" w:color="999999" w:sz="12" w:space="8"/>
        </w:pBdr>
        <w:spacing w:after="200" w:before="100"/>
        <w:ind w:left="200"/>
      </w:pPr>
      <w:r>
        <w:rPr>
          <w:i/>
          <w:iCs/>
        </w:rPr>
        <w:t xml:space="preserve">The v2 Authoring GDD's worksheets (Perk / Feat / Fusion-and-chain, §11 of that document) map directly onto the author-mode form fields needed in Phase 6 and should be used as the literal UI spec when that phase starts, rather than re-derived.</w:t>
      </w:r>
    </w:p>
    <w:p>
      <w:pPr>
        <w:pStyle w:val="Heading1"/>
        <w:spacing w:after="160" w:before="320"/>
      </w:pPr>
      <w:r>
        <w:t xml:space="preserve">7. Anti Perks</w:t>
      </w:r>
    </w:p>
    <w:p>
      <w:pPr>
        <w:spacing w:after="160"/>
      </w:pPr>
      <w:r>
        <w:rPr>
          <w:b w:val="false"/>
          <w:bCs w:val="false"/>
          <w:i w:val="false"/>
          <w:iCs w:val="false"/>
        </w:rPr>
        <w:t xml:space="preserve">A distinct and popular category: perks that require an attribute to be low (ATTRIBUTE_CEILING, §3.1) and that deactivate — not delete — once the attribute rises past the ceiling.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80"/>
        <w:gridCol w:w="7056"/>
      </w:tblGrid>
      <w:tr>
        <w:trPr>
          <w:tblHeader/>
        </w:trPr>
        <w:tc>
          <w:tcPr>
            <w:tcW w:type="dxa" w:w="2880"/>
            <w:shd w:fill="E7E6E6" w:color="auto" w:val="clear"/>
            <w:tcMar>
              <w:top w:type="dxa" w:w="80"/>
              <w:left w:type="dxa" w:w="100"/>
              <w:bottom w:type="dxa" w:w="80"/>
              <w:right w:type="dxa" w:w="100"/>
            </w:tcMar>
          </w:tcPr>
          <w:p>
            <w:r>
              <w:rPr>
                <w:b/>
                <w:bCs/>
                <w:sz w:val="20"/>
                <w:szCs w:val="20"/>
              </w:rPr>
              <w:t xml:space="preserve">Property</w:t>
            </w:r>
          </w:p>
        </w:tc>
        <w:tc>
          <w:tcPr>
            <w:tcW w:type="dxa" w:w="7056"/>
            <w:shd w:fill="E7E6E6" w:color="auto" w:val="clear"/>
            <w:tcMar>
              <w:top w:type="dxa" w:w="80"/>
              <w:left w:type="dxa" w:w="100"/>
              <w:bottom w:type="dxa" w:w="80"/>
              <w:right w:type="dxa" w:w="100"/>
            </w:tcMar>
          </w:tcPr>
          <w:p>
            <w:r>
              <w:rPr>
                <w:b/>
                <w:bCs/>
                <w:sz w:val="20"/>
                <w:szCs w:val="20"/>
              </w:rPr>
              <w:t xml:space="preserve">Behaviour</w:t>
            </w:r>
          </w:p>
        </w:tc>
      </w:tr>
      <w:tr>
        <w:tc>
          <w:tcPr>
            <w:tcW w:type="dxa" w:w="2880"/>
            <w:tcMar>
              <w:top w:type="dxa" w:w="80"/>
              <w:left w:type="dxa" w:w="100"/>
              <w:bottom w:type="dxa" w:w="80"/>
              <w:right w:type="dxa" w:w="100"/>
            </w:tcMar>
          </w:tcPr>
          <w:p>
            <w:r>
              <w:rPr>
                <w:b w:val="false"/>
                <w:bCs w:val="false"/>
                <w:sz w:val="20"/>
                <w:szCs w:val="20"/>
              </w:rPr>
              <w:t xml:space="preserve">Requirement</w:t>
            </w:r>
          </w:p>
        </w:tc>
        <w:tc>
          <w:tcPr>
            <w:tcW w:type="dxa" w:w="7056"/>
            <w:tcMar>
              <w:top w:type="dxa" w:w="80"/>
              <w:left w:type="dxa" w:w="100"/>
              <w:bottom w:type="dxa" w:w="80"/>
              <w:right w:type="dxa" w:w="100"/>
            </w:tcMar>
          </w:tcPr>
          <w:p>
            <w:r>
              <w:rPr>
                <w:b w:val="false"/>
                <w:bCs w:val="false"/>
                <w:sz w:val="20"/>
                <w:szCs w:val="20"/>
              </w:rPr>
              <w:t xml:space="preserve">Attribute ≤ threshold (the only ceiling-type requirement in the system)</w:t>
            </w:r>
          </w:p>
        </w:tc>
      </w:tr>
      <w:tr>
        <w:tc>
          <w:tcPr>
            <w:tcW w:type="dxa" w:w="2880"/>
            <w:tcMar>
              <w:top w:type="dxa" w:w="80"/>
              <w:left w:type="dxa" w:w="100"/>
              <w:bottom w:type="dxa" w:w="80"/>
              <w:right w:type="dxa" w:w="100"/>
            </w:tcMar>
          </w:tcPr>
          <w:p>
            <w:r>
              <w:rPr>
                <w:b w:val="false"/>
                <w:bCs w:val="false"/>
                <w:sz w:val="20"/>
                <w:szCs w:val="20"/>
              </w:rPr>
              <w:t xml:space="preserve">State when active</w:t>
            </w:r>
          </w:p>
        </w:tc>
        <w:tc>
          <w:tcPr>
            <w:tcW w:type="dxa" w:w="7056"/>
            <w:tcMar>
              <w:top w:type="dxa" w:w="80"/>
              <w:left w:type="dxa" w:w="100"/>
              <w:bottom w:type="dxa" w:w="80"/>
              <w:right w:type="dxa" w:w="100"/>
            </w:tcMar>
          </w:tcPr>
          <w:p>
            <w:r>
              <w:rPr>
                <w:b w:val="false"/>
                <w:bCs w:val="false"/>
                <w:sz w:val="20"/>
                <w:szCs w:val="20"/>
              </w:rPr>
              <w:t xml:space="preserve">Grants its Perk normally</w:t>
            </w:r>
          </w:p>
        </w:tc>
      </w:tr>
      <w:tr>
        <w:tc>
          <w:tcPr>
            <w:tcW w:type="dxa" w:w="2880"/>
            <w:tcMar>
              <w:top w:type="dxa" w:w="80"/>
              <w:left w:type="dxa" w:w="100"/>
              <w:bottom w:type="dxa" w:w="80"/>
              <w:right w:type="dxa" w:w="100"/>
            </w:tcMar>
          </w:tcPr>
          <w:p>
            <w:r>
              <w:rPr>
                <w:b w:val="false"/>
                <w:bCs w:val="false"/>
                <w:sz w:val="20"/>
                <w:szCs w:val="20"/>
              </w:rPr>
              <w:t xml:space="preserve">State when attribute exceeds ceiling</w:t>
            </w:r>
          </w:p>
        </w:tc>
        <w:tc>
          <w:tcPr>
            <w:tcW w:type="dxa" w:w="7056"/>
            <w:tcMar>
              <w:top w:type="dxa" w:w="80"/>
              <w:left w:type="dxa" w:w="100"/>
              <w:bottom w:type="dxa" w:w="80"/>
              <w:right w:type="dxa" w:w="100"/>
            </w:tcMar>
          </w:tcPr>
          <w:p>
            <w:r>
              <w:rPr>
                <w:b w:val="false"/>
                <w:bCs w:val="false"/>
                <w:sz w:val="20"/>
                <w:szCs w:val="20"/>
              </w:rPr>
              <w:t xml:space="preserve">Becomes inactive — remains owned, shown greyed in the build, contributes nothing to the compound-advantages panel</w:t>
            </w:r>
          </w:p>
        </w:tc>
      </w:tr>
      <w:tr>
        <w:tc>
          <w:tcPr>
            <w:tcW w:type="dxa" w:w="2880"/>
            <w:tcMar>
              <w:top w:type="dxa" w:w="80"/>
              <w:left w:type="dxa" w:w="100"/>
              <w:bottom w:type="dxa" w:w="80"/>
              <w:right w:type="dxa" w:w="100"/>
            </w:tcMar>
          </w:tcPr>
          <w:p>
            <w:r>
              <w:rPr>
                <w:b w:val="false"/>
                <w:bCs w:val="false"/>
                <w:sz w:val="20"/>
                <w:szCs w:val="20"/>
              </w:rPr>
              <w:t xml:space="preserve">UI precedent</w:t>
            </w:r>
          </w:p>
        </w:tc>
        <w:tc>
          <w:tcPr>
            <w:tcW w:type="dxa" w:w="7056"/>
            <w:tcMar>
              <w:top w:type="dxa" w:w="80"/>
              <w:left w:type="dxa" w:w="100"/>
              <w:bottom w:type="dxa" w:w="80"/>
              <w:right w:type="dxa" w:w="100"/>
            </w:tcMar>
          </w:tcPr>
          <w:p>
            <w:r>
              <w:rPr>
                <w:b w:val="false"/>
                <w:bCs w:val="false"/>
                <w:sz w:val="20"/>
                <w:szCs w:val="20"/>
              </w:rPr>
              <w:t xml:space="preserve">Structurally identical to an Alignment Spiral persona going inactive when alignment drifts off its supporting Rank — same suspend-don't-delete pattern, reuse the same rendering treatment</w:t>
            </w:r>
          </w:p>
        </w:tc>
      </w:tr>
    </w:tbl>
    <w:p>
      <w:pPr>
        <w:pStyle w:val="Heading1"/>
        <w:spacing w:after="160" w:before="320"/>
      </w:pPr>
      <w:r>
        <w:t xml:space="preserve">8. Cost model</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016"/>
        <w:gridCol w:w="3888"/>
        <w:gridCol w:w="3888"/>
      </w:tblGrid>
      <w:tr>
        <w:trPr>
          <w:tblHeader/>
        </w:trPr>
        <w:tc>
          <w:tcPr>
            <w:tcW w:type="dxa" w:w="2016"/>
            <w:shd w:fill="E7E6E6" w:color="auto" w:val="clear"/>
            <w:tcMar>
              <w:top w:type="dxa" w:w="80"/>
              <w:left w:type="dxa" w:w="100"/>
              <w:bottom w:type="dxa" w:w="80"/>
              <w:right w:type="dxa" w:w="100"/>
            </w:tcMar>
          </w:tcPr>
          <w:p>
            <w:r>
              <w:rPr>
                <w:b/>
                <w:bCs/>
                <w:sz w:val="20"/>
                <w:szCs w:val="20"/>
              </w:rPr>
              <w:t xml:space="preserve">Currency</w:t>
            </w:r>
          </w:p>
        </w:tc>
        <w:tc>
          <w:tcPr>
            <w:tcW w:type="dxa" w:w="3888"/>
            <w:shd w:fill="E7E6E6" w:color="auto" w:val="clear"/>
            <w:tcMar>
              <w:top w:type="dxa" w:w="80"/>
              <w:left w:type="dxa" w:w="100"/>
              <w:bottom w:type="dxa" w:w="80"/>
              <w:right w:type="dxa" w:w="100"/>
            </w:tcMar>
          </w:tcPr>
          <w:p>
            <w:r>
              <w:rPr>
                <w:b/>
                <w:bCs/>
                <w:sz w:val="20"/>
                <w:szCs w:val="20"/>
              </w:rPr>
              <w:t xml:space="preserve">Governs</w:t>
            </w:r>
          </w:p>
        </w:tc>
        <w:tc>
          <w:tcPr>
            <w:tcW w:type="dxa" w:w="3888"/>
            <w:shd w:fill="E7E6E6" w:color="auto" w:val="clear"/>
            <w:tcMar>
              <w:top w:type="dxa" w:w="80"/>
              <w:left w:type="dxa" w:w="100"/>
              <w:bottom w:type="dxa" w:w="80"/>
              <w:right w:type="dxa" w:w="100"/>
            </w:tcMar>
          </w:tcPr>
          <w:p>
            <w:r>
              <w:rPr>
                <w:b/>
                <w:bCs/>
                <w:sz w:val="20"/>
                <w:szCs w:val="20"/>
              </w:rPr>
              <w:t xml:space="preserve">Notes</w:t>
            </w:r>
          </w:p>
        </w:tc>
      </w:tr>
      <w:tr>
        <w:tc>
          <w:tcPr>
            <w:tcW w:type="dxa" w:w="2016"/>
            <w:tcMar>
              <w:top w:type="dxa" w:w="80"/>
              <w:left w:type="dxa" w:w="100"/>
              <w:bottom w:type="dxa" w:w="80"/>
              <w:right w:type="dxa" w:w="100"/>
            </w:tcMar>
          </w:tcPr>
          <w:p>
            <w:r>
              <w:rPr>
                <w:b w:val="false"/>
                <w:bCs w:val="false"/>
                <w:sz w:val="20"/>
                <w:szCs w:val="20"/>
              </w:rPr>
              <w:t xml:space="preserve">CP (Character Points)</w:t>
            </w:r>
          </w:p>
        </w:tc>
        <w:tc>
          <w:tcPr>
            <w:tcW w:type="dxa" w:w="3888"/>
            <w:tcMar>
              <w:top w:type="dxa" w:w="80"/>
              <w:left w:type="dxa" w:w="100"/>
              <w:bottom w:type="dxa" w:w="80"/>
              <w:right w:type="dxa" w:w="100"/>
            </w:tcMar>
          </w:tcPr>
          <w:p>
            <w:r>
              <w:rPr>
                <w:b w:val="false"/>
                <w:bCs w:val="false"/>
                <w:sz w:val="20"/>
                <w:szCs w:val="20"/>
              </w:rPr>
              <w:t xml:space="preserve">Everything on the character sheet: Feat/Header purchases, Skill investment</w:t>
            </w:r>
          </w:p>
        </w:tc>
        <w:tc>
          <w:tcPr>
            <w:tcW w:type="dxa" w:w="3888"/>
            <w:tcMar>
              <w:top w:type="dxa" w:w="80"/>
              <w:left w:type="dxa" w:w="100"/>
              <w:bottom w:type="dxa" w:w="80"/>
              <w:right w:type="dxa" w:w="100"/>
            </w:tcMar>
          </w:tcPr>
          <w:p>
            <w:r>
              <w:rPr>
                <w:b w:val="false"/>
                <w:bCs w:val="false"/>
                <w:sz w:val="20"/>
                <w:szCs w:val="20"/>
              </w:rPr>
              <w:t xml:space="preserve">A level-1 character's CP is roughly pinned to level; veteran/powerful characters accumulate more CP than their level alone would allot, and that's intended, not a bug to fix</w:t>
            </w:r>
          </w:p>
        </w:tc>
      </w:tr>
      <w:tr>
        <w:tc>
          <w:tcPr>
            <w:tcW w:type="dxa" w:w="2016"/>
            <w:tcMar>
              <w:top w:type="dxa" w:w="80"/>
              <w:left w:type="dxa" w:w="100"/>
              <w:bottom w:type="dxa" w:w="80"/>
              <w:right w:type="dxa" w:w="100"/>
            </w:tcMar>
          </w:tcPr>
          <w:p>
            <w:r>
              <w:rPr>
                <w:b w:val="false"/>
                <w:bCs w:val="false"/>
                <w:sz w:val="20"/>
                <w:szCs w:val="20"/>
              </w:rPr>
              <w:t xml:space="preserve">XP</w:t>
            </w:r>
          </w:p>
        </w:tc>
        <w:tc>
          <w:tcPr>
            <w:tcW w:type="dxa" w:w="3888"/>
            <w:tcMar>
              <w:top w:type="dxa" w:w="80"/>
              <w:left w:type="dxa" w:w="100"/>
              <w:bottom w:type="dxa" w:w="80"/>
              <w:right w:type="dxa" w:w="100"/>
            </w:tcMar>
          </w:tcPr>
          <w:p>
            <w:r>
              <w:rPr>
                <w:b w:val="false"/>
                <w:bCs w:val="false"/>
                <w:sz w:val="20"/>
                <w:szCs w:val="20"/>
              </w:rPr>
              <w:t xml:space="preserve">Anything the external fictional world charges for: trainers, tomes, crafting, non-sheet training (a pottery class), and the level-loss cost of some Advanced Knowledge retraining</w:t>
            </w:r>
          </w:p>
        </w:tc>
        <w:tc>
          <w:tcPr>
            <w:tcW w:type="dxa" w:w="3888"/>
            <w:tcMar>
              <w:top w:type="dxa" w:w="80"/>
              <w:left w:type="dxa" w:w="100"/>
              <w:bottom w:type="dxa" w:w="80"/>
              <w:right w:type="dxa" w:w="100"/>
            </w:tcMar>
          </w:tcPr>
          <w:p>
            <w:r>
              <w:rPr>
                <w:b w:val="false"/>
                <w:bCs w:val="false"/>
                <w:sz w:val="20"/>
                <w:szCs w:val="20"/>
              </w:rPr>
              <w:t xml:space="preserve">Dual-currency reflects the game's dual nature: sheet-internal growth vs. world-facing cost</w:t>
            </w:r>
          </w:p>
        </w:tc>
      </w:tr>
    </w:tbl>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880"/>
        <w:gridCol w:w="7056"/>
      </w:tblGrid>
      <w:tr>
        <w:trPr>
          <w:tblHeader/>
        </w:trPr>
        <w:tc>
          <w:tcPr>
            <w:tcW w:type="dxa" w:w="2880"/>
            <w:shd w:fill="E7E6E6" w:color="auto" w:val="clear"/>
            <w:tcMar>
              <w:top w:type="dxa" w:w="80"/>
              <w:left w:type="dxa" w:w="100"/>
              <w:bottom w:type="dxa" w:w="80"/>
              <w:right w:type="dxa" w:w="100"/>
            </w:tcMar>
          </w:tcPr>
          <w:p>
            <w:r>
              <w:rPr>
                <w:b/>
                <w:bCs/>
                <w:sz w:val="20"/>
                <w:szCs w:val="20"/>
              </w:rPr>
              <w:t xml:space="preserve">Cost modifier</w:t>
            </w:r>
          </w:p>
        </w:tc>
        <w:tc>
          <w:tcPr>
            <w:tcW w:type="dxa" w:w="7056"/>
            <w:shd w:fill="E7E6E6" w:color="auto" w:val="clear"/>
            <w:tcMar>
              <w:top w:type="dxa" w:w="80"/>
              <w:left w:type="dxa" w:w="100"/>
              <w:bottom w:type="dxa" w:w="80"/>
              <w:right w:type="dxa" w:w="100"/>
            </w:tcMar>
          </w:tcPr>
          <w:p>
            <w:r>
              <w:rPr>
                <w:b/>
                <w:bCs/>
                <w:sz w:val="20"/>
                <w:szCs w:val="20"/>
              </w:rPr>
              <w:t xml:space="preserve">Rule</w:t>
            </w:r>
          </w:p>
        </w:tc>
      </w:tr>
      <w:tr>
        <w:tc>
          <w:tcPr>
            <w:tcW w:type="dxa" w:w="2880"/>
            <w:tcMar>
              <w:top w:type="dxa" w:w="80"/>
              <w:left w:type="dxa" w:w="100"/>
              <w:bottom w:type="dxa" w:w="80"/>
              <w:right w:type="dxa" w:w="100"/>
            </w:tcMar>
          </w:tcPr>
          <w:p>
            <w:r>
              <w:rPr>
                <w:b w:val="false"/>
                <w:bCs w:val="false"/>
                <w:sz w:val="20"/>
                <w:szCs w:val="20"/>
              </w:rPr>
              <w:t xml:space="preserve">Group discount</w:t>
            </w:r>
          </w:p>
        </w:tc>
        <w:tc>
          <w:tcPr>
            <w:tcW w:type="dxa" w:w="7056"/>
            <w:tcMar>
              <w:top w:type="dxa" w:w="80"/>
              <w:left w:type="dxa" w:w="100"/>
              <w:bottom w:type="dxa" w:w="80"/>
              <w:right w:type="dxa" w:w="100"/>
            </w:tcMar>
          </w:tcPr>
          <w:p>
            <w:r>
              <w:rPr>
                <w:b w:val="false"/>
                <w:bCs w:val="false"/>
                <w:sz w:val="20"/>
                <w:szCs w:val="20"/>
              </w:rPr>
              <w:t xml:space="preserve">A Skill bought as part of its declared Skill Group costs ≈ 25% less than the same Skill bought loose</w:t>
            </w:r>
          </w:p>
        </w:tc>
      </w:tr>
      <w:tr>
        <w:tc>
          <w:tcPr>
            <w:tcW w:type="dxa" w:w="2880"/>
            <w:tcMar>
              <w:top w:type="dxa" w:w="80"/>
              <w:left w:type="dxa" w:w="100"/>
              <w:bottom w:type="dxa" w:w="80"/>
              <w:right w:type="dxa" w:w="100"/>
            </w:tcMar>
          </w:tcPr>
          <w:p>
            <w:r>
              <w:rPr>
                <w:b w:val="false"/>
                <w:bCs w:val="false"/>
                <w:sz w:val="20"/>
                <w:szCs w:val="20"/>
              </w:rPr>
              <w:t xml:space="preserve">Out-of-group purchase</w:t>
            </w:r>
          </w:p>
        </w:tc>
        <w:tc>
          <w:tcPr>
            <w:tcW w:type="dxa" w:w="7056"/>
            <w:tcMar>
              <w:top w:type="dxa" w:w="80"/>
              <w:left w:type="dxa" w:w="100"/>
              <w:bottom w:type="dxa" w:w="80"/>
              <w:right w:type="dxa" w:w="100"/>
            </w:tcMar>
          </w:tcPr>
          <w:p>
            <w:r>
              <w:rPr>
                <w:b w:val="false"/>
                <w:bCs w:val="false"/>
                <w:sz w:val="20"/>
                <w:szCs w:val="20"/>
              </w:rPr>
              <w:t xml:space="preserve">Full price; no group discount applies</w:t>
            </w:r>
          </w:p>
        </w:tc>
      </w:tr>
      <w:tr>
        <w:tc>
          <w:tcPr>
            <w:tcW w:type="dxa" w:w="2880"/>
            <w:tcMar>
              <w:top w:type="dxa" w:w="80"/>
              <w:left w:type="dxa" w:w="100"/>
              <w:bottom w:type="dxa" w:w="80"/>
              <w:right w:type="dxa" w:w="100"/>
            </w:tcMar>
          </w:tcPr>
          <w:p>
            <w:r>
              <w:rPr>
                <w:b w:val="false"/>
                <w:bCs w:val="false"/>
                <w:sz w:val="20"/>
                <w:szCs w:val="20"/>
              </w:rPr>
              <w:t xml:space="preserve">Discount-reducing Perks</w:t>
            </w:r>
          </w:p>
        </w:tc>
        <w:tc>
          <w:tcPr>
            <w:tcW w:type="dxa" w:w="7056"/>
            <w:tcMar>
              <w:top w:type="dxa" w:w="80"/>
              <w:left w:type="dxa" w:w="100"/>
              <w:bottom w:type="dxa" w:w="80"/>
              <w:right w:type="dxa" w:w="100"/>
            </w:tcMar>
          </w:tcPr>
          <w:p>
            <w:r>
              <w:rPr>
                <w:b w:val="false"/>
                <w:bCs w:val="false"/>
                <w:sz w:val="20"/>
                <w:szCs w:val="20"/>
              </w:rPr>
              <w:t xml:space="preserve">Feats such as Wiseman / Educated reduce the out-of-group penalty specifically</w:t>
            </w:r>
          </w:p>
        </w:tc>
      </w:tr>
      <w:tr>
        <w:tc>
          <w:tcPr>
            <w:tcW w:type="dxa" w:w="2880"/>
            <w:tcMar>
              <w:top w:type="dxa" w:w="80"/>
              <w:left w:type="dxa" w:w="100"/>
              <w:bottom w:type="dxa" w:w="80"/>
              <w:right w:type="dxa" w:w="100"/>
            </w:tcMar>
          </w:tcPr>
          <w:p>
            <w:r>
              <w:rPr>
                <w:b w:val="false"/>
                <w:bCs w:val="false"/>
                <w:sz w:val="20"/>
                <w:szCs w:val="20"/>
              </w:rPr>
              <w:t xml:space="preserve">Mastery cashback</w:t>
            </w:r>
          </w:p>
        </w:tc>
        <w:tc>
          <w:tcPr>
            <w:tcW w:type="dxa" w:w="7056"/>
            <w:tcMar>
              <w:top w:type="dxa" w:w="80"/>
              <w:left w:type="dxa" w:w="100"/>
              <w:bottom w:type="dxa" w:w="80"/>
              <w:right w:type="dxa" w:w="100"/>
            </w:tcMar>
          </w:tcPr>
          <w:p>
            <w:r>
              <w:rPr>
                <w:b w:val="false"/>
                <w:bCs w:val="false"/>
                <w:sz w:val="20"/>
                <w:szCs w:val="20"/>
              </w:rPr>
              <w:t xml:space="preserve">At Skill level 10 / 25 / 40 / 50, the character gains a Mastery Trait: a CP discount toward further same-type Skill spend, functioning as a partial CP refund on prior spend</w:t>
            </w:r>
          </w:p>
        </w:tc>
      </w:tr>
    </w:tbl>
    <w:p>
      <w:pPr>
        <w:spacing w:after="160"/>
      </w:pPr>
      <w:r>
        <w:rPr>
          <w:b w:val="false"/>
          <w:bCs w:val="false"/>
          <w:i w:val="false"/>
          <w:iCs w:val="false"/>
        </w:rPr>
        <w:t xml:space="preserve">Consequence for the builder UI: the app must resolve group membership before totaling, and the advantages panel needs a sibling cost panel (CP spent / XP owed / mastery cashback applied) so a build is reviewable at a glance when handed off for review.</w:t>
      </w:r>
    </w:p>
    <w:p>
      <w:pPr>
        <w:pStyle w:val="Heading1"/>
        <w:spacing w:after="160" w:before="320"/>
      </w:pPr>
      <w:r>
        <w:t xml:space="preserve">9. Current dataset inventory</w:t>
      </w:r>
    </w:p>
    <w:p>
      <w:pPr>
        <w:spacing w:after="160"/>
      </w:pPr>
      <w:r>
        <w:rPr>
          <w:b w:val="false"/>
          <w:bCs w:val="false"/>
          <w:i w:val="false"/>
          <w:iCs w:val="false"/>
        </w:rPr>
        <w:t xml:space="preserve">What exists today, extracted and normalized into six CSVs during this design pass (source: Protofeats_Renew_1_1.xlsx, cross-checked against Attribute_CheatSheet_v0.pdf):</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04"/>
        <w:gridCol w:w="1008"/>
        <w:gridCol w:w="3744"/>
        <w:gridCol w:w="2880"/>
      </w:tblGrid>
      <w:tr>
        <w:trPr>
          <w:tblHeader/>
        </w:trPr>
        <w:tc>
          <w:tcPr>
            <w:tcW w:type="dxa" w:w="2304"/>
            <w:shd w:fill="E7E6E6" w:color="auto" w:val="clear"/>
            <w:tcMar>
              <w:top w:type="dxa" w:w="80"/>
              <w:left w:type="dxa" w:w="100"/>
              <w:bottom w:type="dxa" w:w="80"/>
              <w:right w:type="dxa" w:w="100"/>
            </w:tcMar>
          </w:tcPr>
          <w:p>
            <w:r>
              <w:rPr>
                <w:b/>
                <w:bCs/>
                <w:sz w:val="20"/>
                <w:szCs w:val="20"/>
              </w:rPr>
              <w:t xml:space="preserve">File</w:t>
            </w:r>
          </w:p>
        </w:tc>
        <w:tc>
          <w:tcPr>
            <w:tcW w:type="dxa" w:w="1008"/>
            <w:shd w:fill="E7E6E6" w:color="auto" w:val="clear"/>
            <w:tcMar>
              <w:top w:type="dxa" w:w="80"/>
              <w:left w:type="dxa" w:w="100"/>
              <w:bottom w:type="dxa" w:w="80"/>
              <w:right w:type="dxa" w:w="100"/>
            </w:tcMar>
          </w:tcPr>
          <w:p>
            <w:r>
              <w:rPr>
                <w:b/>
                <w:bCs/>
                <w:sz w:val="20"/>
                <w:szCs w:val="20"/>
              </w:rPr>
              <w:t xml:space="preserve">Rows</w:t>
            </w:r>
          </w:p>
        </w:tc>
        <w:tc>
          <w:tcPr>
            <w:tcW w:type="dxa" w:w="3744"/>
            <w:shd w:fill="E7E6E6" w:color="auto" w:val="clear"/>
            <w:tcMar>
              <w:top w:type="dxa" w:w="80"/>
              <w:left w:type="dxa" w:w="100"/>
              <w:bottom w:type="dxa" w:w="80"/>
              <w:right w:type="dxa" w:w="100"/>
            </w:tcMar>
          </w:tcPr>
          <w:p>
            <w:r>
              <w:rPr>
                <w:b/>
                <w:bCs/>
                <w:sz w:val="20"/>
                <w:szCs w:val="20"/>
              </w:rPr>
              <w:t xml:space="preserve">Content</w:t>
            </w:r>
          </w:p>
        </w:tc>
        <w:tc>
          <w:tcPr>
            <w:tcW w:type="dxa" w:w="2880"/>
            <w:shd w:fill="E7E6E6" w:color="auto" w:val="clear"/>
            <w:tcMar>
              <w:top w:type="dxa" w:w="80"/>
              <w:left w:type="dxa" w:w="100"/>
              <w:bottom w:type="dxa" w:w="80"/>
              <w:right w:type="dxa" w:w="100"/>
            </w:tcMar>
          </w:tcPr>
          <w:p>
            <w:r>
              <w:rPr>
                <w:b/>
                <w:bCs/>
                <w:sz w:val="20"/>
                <w:szCs w:val="20"/>
              </w:rPr>
              <w:t xml:space="preserve">Status</w:t>
            </w:r>
          </w:p>
        </w:tc>
      </w:tr>
      <w:tr>
        <w:tc>
          <w:tcPr>
            <w:tcW w:type="dxa" w:w="2304"/>
            <w:tcMar>
              <w:top w:type="dxa" w:w="80"/>
              <w:left w:type="dxa" w:w="100"/>
              <w:bottom w:type="dxa" w:w="80"/>
              <w:right w:type="dxa" w:w="100"/>
            </w:tcMar>
          </w:tcPr>
          <w:p>
            <w:r>
              <w:rPr>
                <w:b w:val="false"/>
                <w:bCs w:val="false"/>
                <w:sz w:val="20"/>
                <w:szCs w:val="20"/>
              </w:rPr>
              <w:t xml:space="preserve">skills.csv</w:t>
            </w:r>
          </w:p>
        </w:tc>
        <w:tc>
          <w:tcPr>
            <w:tcW w:type="dxa" w:w="1008"/>
            <w:tcMar>
              <w:top w:type="dxa" w:w="80"/>
              <w:left w:type="dxa" w:w="100"/>
              <w:bottom w:type="dxa" w:w="80"/>
              <w:right w:type="dxa" w:w="100"/>
            </w:tcMar>
          </w:tcPr>
          <w:p>
            <w:r>
              <w:rPr>
                <w:b w:val="false"/>
                <w:bCs w:val="false"/>
                <w:sz w:val="20"/>
                <w:szCs w:val="20"/>
              </w:rPr>
              <w:t xml:space="preserve">55</w:t>
            </w:r>
          </w:p>
        </w:tc>
        <w:tc>
          <w:tcPr>
            <w:tcW w:type="dxa" w:w="3744"/>
            <w:tcMar>
              <w:top w:type="dxa" w:w="80"/>
              <w:left w:type="dxa" w:w="100"/>
              <w:bottom w:type="dxa" w:w="80"/>
              <w:right w:type="dxa" w:w="100"/>
            </w:tcMar>
          </w:tcPr>
          <w:p>
            <w:r>
              <w:rPr>
                <w:b w:val="false"/>
                <w:bCs w:val="false"/>
                <w:sz w:val="20"/>
                <w:szCs w:val="20"/>
              </w:rPr>
              <w:t xml:space="preserve">Iron-tier root skills (12 Core, 43 Support), attribute, description</w:t>
            </w:r>
          </w:p>
        </w:tc>
        <w:tc>
          <w:tcPr>
            <w:tcW w:type="dxa" w:w="2880"/>
            <w:tcMar>
              <w:top w:type="dxa" w:w="80"/>
              <w:left w:type="dxa" w:w="100"/>
              <w:bottom w:type="dxa" w:w="80"/>
              <w:right w:type="dxa" w:w="100"/>
            </w:tcMar>
          </w:tcPr>
          <w:p>
            <w:r>
              <w:rPr>
                <w:b w:val="false"/>
                <w:bCs w:val="false"/>
                <w:sz w:val="20"/>
                <w:szCs w:val="20"/>
              </w:rPr>
              <w:t xml:space="preserve">Complete for Iron tier. Missing: Wilderness (confirmed real, WIL/Support, sibling to Survival [Bronze]) — add in next pass.</w:t>
            </w:r>
          </w:p>
        </w:tc>
      </w:tr>
      <w:tr>
        <w:tc>
          <w:tcPr>
            <w:tcW w:type="dxa" w:w="2304"/>
            <w:tcMar>
              <w:top w:type="dxa" w:w="80"/>
              <w:left w:type="dxa" w:w="100"/>
              <w:bottom w:type="dxa" w:w="80"/>
              <w:right w:type="dxa" w:w="100"/>
            </w:tcMar>
          </w:tcPr>
          <w:p>
            <w:r>
              <w:rPr>
                <w:b w:val="false"/>
                <w:bCs w:val="false"/>
                <w:sz w:val="20"/>
                <w:szCs w:val="20"/>
              </w:rPr>
              <w:t xml:space="preserve">specializations.csv</w:t>
            </w:r>
          </w:p>
        </w:tc>
        <w:tc>
          <w:tcPr>
            <w:tcW w:type="dxa" w:w="1008"/>
            <w:tcMar>
              <w:top w:type="dxa" w:w="80"/>
              <w:left w:type="dxa" w:w="100"/>
              <w:bottom w:type="dxa" w:w="80"/>
              <w:right w:type="dxa" w:w="100"/>
            </w:tcMar>
          </w:tcPr>
          <w:p>
            <w:r>
              <w:rPr>
                <w:b w:val="false"/>
                <w:bCs w:val="false"/>
                <w:sz w:val="20"/>
                <w:szCs w:val="20"/>
              </w:rPr>
              <w:t xml:space="preserve">181</w:t>
            </w:r>
          </w:p>
        </w:tc>
        <w:tc>
          <w:tcPr>
            <w:tcW w:type="dxa" w:w="3744"/>
            <w:tcMar>
              <w:top w:type="dxa" w:w="80"/>
              <w:left w:type="dxa" w:w="100"/>
              <w:bottom w:type="dxa" w:w="80"/>
              <w:right w:type="dxa" w:w="100"/>
            </w:tcMar>
          </w:tcPr>
          <w:p>
            <w:r>
              <w:rPr>
                <w:b w:val="false"/>
                <w:bCs w:val="false"/>
                <w:sz w:val="20"/>
                <w:szCs w:val="20"/>
              </w:rPr>
              <w:t xml:space="preserve">Level-10 branch skills, mapped to parent Skill</w:t>
            </w:r>
          </w:p>
        </w:tc>
        <w:tc>
          <w:tcPr>
            <w:tcW w:type="dxa" w:w="2880"/>
            <w:tcMar>
              <w:top w:type="dxa" w:w="80"/>
              <w:left w:type="dxa" w:w="100"/>
              <w:bottom w:type="dxa" w:w="80"/>
              <w:right w:type="dxa" w:w="100"/>
            </w:tcMar>
          </w:tcPr>
          <w:p>
            <w:r>
              <w:rPr>
                <w:b w:val="false"/>
                <w:bCs w:val="false"/>
                <w:sz w:val="20"/>
                <w:szCs w:val="20"/>
              </w:rPr>
              <w:t xml:space="preserve">Extracted from InterSkills tab; usable as-is</w:t>
            </w:r>
          </w:p>
        </w:tc>
      </w:tr>
      <w:tr>
        <w:tc>
          <w:tcPr>
            <w:tcW w:type="dxa" w:w="2304"/>
            <w:tcMar>
              <w:top w:type="dxa" w:w="80"/>
              <w:left w:type="dxa" w:w="100"/>
              <w:bottom w:type="dxa" w:w="80"/>
              <w:right w:type="dxa" w:w="100"/>
            </w:tcMar>
          </w:tcPr>
          <w:p>
            <w:r>
              <w:rPr>
                <w:b w:val="false"/>
                <w:bCs w:val="false"/>
                <w:sz w:val="20"/>
                <w:szCs w:val="20"/>
              </w:rPr>
              <w:t xml:space="preserve">skill_groups.csv</w:t>
            </w:r>
          </w:p>
        </w:tc>
        <w:tc>
          <w:tcPr>
            <w:tcW w:type="dxa" w:w="1008"/>
            <w:tcMar>
              <w:top w:type="dxa" w:w="80"/>
              <w:left w:type="dxa" w:w="100"/>
              <w:bottom w:type="dxa" w:w="80"/>
              <w:right w:type="dxa" w:w="100"/>
            </w:tcMar>
          </w:tcPr>
          <w:p>
            <w:r>
              <w:rPr>
                <w:b w:val="false"/>
                <w:bCs w:val="false"/>
                <w:sz w:val="20"/>
                <w:szCs w:val="20"/>
              </w:rPr>
              <w:t xml:space="preserve">28</w:t>
            </w:r>
          </w:p>
        </w:tc>
        <w:tc>
          <w:tcPr>
            <w:tcW w:type="dxa" w:w="3744"/>
            <w:tcMar>
              <w:top w:type="dxa" w:w="80"/>
              <w:left w:type="dxa" w:w="100"/>
              <w:bottom w:type="dxa" w:w="80"/>
              <w:right w:type="dxa" w:w="100"/>
            </w:tcMar>
          </w:tcPr>
          <w:p>
            <w:r>
              <w:rPr>
                <w:b w:val="false"/>
                <w:bCs w:val="false"/>
                <w:sz w:val="20"/>
                <w:szCs w:val="20"/>
              </w:rPr>
              <w:t xml:space="preserve">8 Core archetypes + 20 Support groups, each with a key attribute</w:t>
            </w:r>
          </w:p>
        </w:tc>
        <w:tc>
          <w:tcPr>
            <w:tcW w:type="dxa" w:w="2880"/>
            <w:tcMar>
              <w:top w:type="dxa" w:w="80"/>
              <w:left w:type="dxa" w:w="100"/>
              <w:bottom w:type="dxa" w:w="80"/>
              <w:right w:type="dxa" w:w="100"/>
            </w:tcMar>
          </w:tcPr>
          <w:p>
            <w:r>
              <w:rPr>
                <w:b w:val="false"/>
                <w:bCs w:val="false"/>
                <w:sz w:val="20"/>
                <w:szCs w:val="20"/>
              </w:rPr>
              <w:t xml:space="preserve">Complete</w:t>
            </w:r>
          </w:p>
        </w:tc>
      </w:tr>
      <w:tr>
        <w:tc>
          <w:tcPr>
            <w:tcW w:type="dxa" w:w="2304"/>
            <w:tcMar>
              <w:top w:type="dxa" w:w="80"/>
              <w:left w:type="dxa" w:w="100"/>
              <w:bottom w:type="dxa" w:w="80"/>
              <w:right w:type="dxa" w:w="100"/>
            </w:tcMar>
          </w:tcPr>
          <w:p>
            <w:r>
              <w:rPr>
                <w:b w:val="false"/>
                <w:bCs w:val="false"/>
                <w:sz w:val="20"/>
                <w:szCs w:val="20"/>
              </w:rPr>
              <w:t xml:space="preserve">group_skill_map.csv</w:t>
            </w:r>
          </w:p>
        </w:tc>
        <w:tc>
          <w:tcPr>
            <w:tcW w:type="dxa" w:w="1008"/>
            <w:tcMar>
              <w:top w:type="dxa" w:w="80"/>
              <w:left w:type="dxa" w:w="100"/>
              <w:bottom w:type="dxa" w:w="80"/>
              <w:right w:type="dxa" w:w="100"/>
            </w:tcMar>
          </w:tcPr>
          <w:p>
            <w:r>
              <w:rPr>
                <w:b w:val="false"/>
                <w:bCs w:val="false"/>
                <w:sz w:val="20"/>
                <w:szCs w:val="20"/>
              </w:rPr>
              <w:t xml:space="preserve">100</w:t>
            </w:r>
          </w:p>
        </w:tc>
        <w:tc>
          <w:tcPr>
            <w:tcW w:type="dxa" w:w="3744"/>
            <w:tcMar>
              <w:top w:type="dxa" w:w="80"/>
              <w:left w:type="dxa" w:w="100"/>
              <w:bottom w:type="dxa" w:w="80"/>
              <w:right w:type="dxa" w:w="100"/>
            </w:tcMar>
          </w:tcPr>
          <w:p>
            <w:r>
              <w:rPr>
                <w:b w:val="false"/>
                <w:bCs w:val="false"/>
                <w:sz w:val="20"/>
                <w:szCs w:val="20"/>
              </w:rPr>
              <w:t xml:space="preserve">Group → Skill edges, drives the 25% discount calc</w:t>
            </w:r>
          </w:p>
        </w:tc>
        <w:tc>
          <w:tcPr>
            <w:tcW w:type="dxa" w:w="2880"/>
            <w:tcMar>
              <w:top w:type="dxa" w:w="80"/>
              <w:left w:type="dxa" w:w="100"/>
              <w:bottom w:type="dxa" w:w="80"/>
              <w:right w:type="dxa" w:w="100"/>
            </w:tcMar>
          </w:tcPr>
          <w:p>
            <w:r>
              <w:rPr>
                <w:b w:val="false"/>
                <w:bCs w:val="false"/>
                <w:sz w:val="20"/>
                <w:szCs w:val="20"/>
              </w:rPr>
              <w:t xml:space="preserve">Complete; note CAR/CHA used interchangeably in source (16 rows) — normalize to one code</w:t>
            </w:r>
          </w:p>
        </w:tc>
      </w:tr>
      <w:tr>
        <w:tc>
          <w:tcPr>
            <w:tcW w:type="dxa" w:w="2304"/>
            <w:tcMar>
              <w:top w:type="dxa" w:w="80"/>
              <w:left w:type="dxa" w:w="100"/>
              <w:bottom w:type="dxa" w:w="80"/>
              <w:right w:type="dxa" w:w="100"/>
            </w:tcMar>
          </w:tcPr>
          <w:p>
            <w:r>
              <w:rPr>
                <w:b w:val="false"/>
                <w:bCs w:val="false"/>
                <w:sz w:val="20"/>
                <w:szCs w:val="20"/>
              </w:rPr>
              <w:t xml:space="preserve">attribute_verbs.csv</w:t>
            </w:r>
          </w:p>
        </w:tc>
        <w:tc>
          <w:tcPr>
            <w:tcW w:type="dxa" w:w="1008"/>
            <w:tcMar>
              <w:top w:type="dxa" w:w="80"/>
              <w:left w:type="dxa" w:w="100"/>
              <w:bottom w:type="dxa" w:w="80"/>
              <w:right w:type="dxa" w:w="100"/>
            </w:tcMar>
          </w:tcPr>
          <w:p>
            <w:r>
              <w:rPr>
                <w:b w:val="false"/>
                <w:bCs w:val="false"/>
                <w:sz w:val="20"/>
                <w:szCs w:val="20"/>
              </w:rPr>
              <w:t xml:space="preserve">18</w:t>
            </w:r>
          </w:p>
        </w:tc>
        <w:tc>
          <w:tcPr>
            <w:tcW w:type="dxa" w:w="3744"/>
            <w:tcMar>
              <w:top w:type="dxa" w:w="80"/>
              <w:left w:type="dxa" w:w="100"/>
              <w:bottom w:type="dxa" w:w="80"/>
              <w:right w:type="dxa" w:w="100"/>
            </w:tcMar>
          </w:tcPr>
          <w:p>
            <w:r>
              <w:rPr>
                <w:b w:val="false"/>
                <w:bCs w:val="false"/>
                <w:sz w:val="20"/>
                <w:szCs w:val="20"/>
              </w:rPr>
              <w:t xml:space="preserve">6 attributes × 3 sub-attribute verbs each, from the Attribute Cheat Sheet</w:t>
            </w:r>
          </w:p>
        </w:tc>
        <w:tc>
          <w:tcPr>
            <w:tcW w:type="dxa" w:w="2880"/>
            <w:tcMar>
              <w:top w:type="dxa" w:w="80"/>
              <w:left w:type="dxa" w:w="100"/>
              <w:bottom w:type="dxa" w:w="80"/>
              <w:right w:type="dxa" w:w="100"/>
            </w:tcMar>
          </w:tcPr>
          <w:p>
            <w:r>
              <w:rPr>
                <w:b w:val="false"/>
                <w:bCs w:val="false"/>
                <w:sz w:val="20"/>
                <w:szCs w:val="20"/>
              </w:rPr>
              <w:t xml:space="preserve">Complete</w:t>
            </w:r>
          </w:p>
        </w:tc>
      </w:tr>
      <w:tr>
        <w:tc>
          <w:tcPr>
            <w:tcW w:type="dxa" w:w="2304"/>
            <w:tcMar>
              <w:top w:type="dxa" w:w="80"/>
              <w:left w:type="dxa" w:w="100"/>
              <w:bottom w:type="dxa" w:w="80"/>
              <w:right w:type="dxa" w:w="100"/>
            </w:tcMar>
          </w:tcPr>
          <w:p>
            <w:r>
              <w:rPr>
                <w:b w:val="false"/>
                <w:bCs w:val="false"/>
                <w:sz w:val="20"/>
                <w:szCs w:val="20"/>
              </w:rPr>
              <w:t xml:space="preserve">macro_attributes.csv</w:t>
            </w:r>
          </w:p>
        </w:tc>
        <w:tc>
          <w:tcPr>
            <w:tcW w:type="dxa" w:w="1008"/>
            <w:tcMar>
              <w:top w:type="dxa" w:w="80"/>
              <w:left w:type="dxa" w:w="100"/>
              <w:bottom w:type="dxa" w:w="80"/>
              <w:right w:type="dxa" w:w="100"/>
            </w:tcMar>
          </w:tcPr>
          <w:p>
            <w:r>
              <w:rPr>
                <w:b w:val="false"/>
                <w:bCs w:val="false"/>
                <w:sz w:val="20"/>
                <w:szCs w:val="20"/>
              </w:rPr>
              <w:t xml:space="preserve">3</w:t>
            </w:r>
          </w:p>
        </w:tc>
        <w:tc>
          <w:tcPr>
            <w:tcW w:type="dxa" w:w="3744"/>
            <w:tcMar>
              <w:top w:type="dxa" w:w="80"/>
              <w:left w:type="dxa" w:w="100"/>
              <w:bottom w:type="dxa" w:w="80"/>
              <w:right w:type="dxa" w:w="100"/>
            </w:tcMar>
          </w:tcPr>
          <w:p>
            <w:r>
              <w:rPr>
                <w:b w:val="false"/>
                <w:bCs w:val="false"/>
                <w:sz w:val="20"/>
                <w:szCs w:val="20"/>
              </w:rPr>
              <w:t xml:space="preserve">BODY/MIND/SPIRIT → Vitality/Insight/Astra derived stats</w:t>
            </w:r>
          </w:p>
        </w:tc>
        <w:tc>
          <w:tcPr>
            <w:tcW w:type="dxa" w:w="2880"/>
            <w:tcMar>
              <w:top w:type="dxa" w:w="80"/>
              <w:left w:type="dxa" w:w="100"/>
              <w:bottom w:type="dxa" w:w="80"/>
              <w:right w:type="dxa" w:w="100"/>
            </w:tcMar>
          </w:tcPr>
          <w:p>
            <w:r>
              <w:rPr>
                <w:b w:val="false"/>
                <w:bCs w:val="false"/>
                <w:sz w:val="20"/>
                <w:szCs w:val="20"/>
              </w:rPr>
              <w:t xml:space="preserve">Complete</w:t>
            </w:r>
          </w:p>
        </w:tc>
      </w:tr>
    </w:tbl>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2880"/>
        <w:gridCol w:w="2016"/>
        <w:gridCol w:w="4896"/>
      </w:tblGrid>
      <w:tr>
        <w:trPr>
          <w:tblHeader/>
        </w:trPr>
        <w:tc>
          <w:tcPr>
            <w:tcW w:type="dxa" w:w="2880"/>
            <w:shd w:fill="E7E6E6" w:color="auto" w:val="clear"/>
            <w:tcMar>
              <w:top w:type="dxa" w:w="80"/>
              <w:left w:type="dxa" w:w="100"/>
              <w:bottom w:type="dxa" w:w="80"/>
              <w:right w:type="dxa" w:w="100"/>
            </w:tcMar>
          </w:tcPr>
          <w:p>
            <w:r>
              <w:rPr>
                <w:b/>
                <w:bCs/>
                <w:sz w:val="20"/>
                <w:szCs w:val="20"/>
              </w:rPr>
              <w:t xml:space="preserve">Source</w:t>
            </w:r>
          </w:p>
        </w:tc>
        <w:tc>
          <w:tcPr>
            <w:tcW w:type="dxa" w:w="2016"/>
            <w:shd w:fill="E7E6E6" w:color="auto" w:val="clear"/>
            <w:tcMar>
              <w:top w:type="dxa" w:w="80"/>
              <w:left w:type="dxa" w:w="100"/>
              <w:bottom w:type="dxa" w:w="80"/>
              <w:right w:type="dxa" w:w="100"/>
            </w:tcMar>
          </w:tcPr>
          <w:p>
            <w:r>
              <w:rPr>
                <w:b/>
                <w:bCs/>
                <w:sz w:val="20"/>
                <w:szCs w:val="20"/>
              </w:rPr>
              <w:t xml:space="preserve">Status</w:t>
            </w:r>
          </w:p>
        </w:tc>
        <w:tc>
          <w:tcPr>
            <w:tcW w:type="dxa" w:w="4896"/>
            <w:shd w:fill="E7E6E6" w:color="auto" w:val="clear"/>
            <w:tcMar>
              <w:top w:type="dxa" w:w="80"/>
              <w:left w:type="dxa" w:w="100"/>
              <w:bottom w:type="dxa" w:w="80"/>
              <w:right w:type="dxa" w:w="100"/>
            </w:tcMar>
          </w:tcPr>
          <w:p>
            <w:r>
              <w:rPr>
                <w:b/>
                <w:bCs/>
                <w:sz w:val="20"/>
                <w:szCs w:val="20"/>
              </w:rPr>
              <w:t xml:space="preserve">Note</w:t>
            </w:r>
          </w:p>
        </w:tc>
      </w:tr>
      <w:tr>
        <w:tc>
          <w:tcPr>
            <w:tcW w:type="dxa" w:w="2880"/>
            <w:tcMar>
              <w:top w:type="dxa" w:w="80"/>
              <w:left w:type="dxa" w:w="100"/>
              <w:bottom w:type="dxa" w:w="80"/>
              <w:right w:type="dxa" w:w="100"/>
            </w:tcMar>
          </w:tcPr>
          <w:p>
            <w:r>
              <w:rPr>
                <w:b w:val="false"/>
                <w:bCs w:val="false"/>
                <w:sz w:val="20"/>
                <w:szCs w:val="20"/>
              </w:rPr>
              <w:t xml:space="preserve">Advanced Knowledge (DarkLawful, NeutralGuild)</w:t>
            </w:r>
          </w:p>
        </w:tc>
        <w:tc>
          <w:tcPr>
            <w:tcW w:type="dxa" w:w="2016"/>
            <w:tcMar>
              <w:top w:type="dxa" w:w="80"/>
              <w:left w:type="dxa" w:w="100"/>
              <w:bottom w:type="dxa" w:w="80"/>
              <w:right w:type="dxa" w:w="100"/>
            </w:tcMar>
          </w:tcPr>
          <w:p>
            <w:r>
              <w:rPr>
                <w:b w:val="false"/>
                <w:bCs w:val="false"/>
                <w:sz w:val="20"/>
                <w:szCs w:val="20"/>
              </w:rPr>
              <w:t xml:space="preserve">Partially authored, not yet converted to records</w:t>
            </w:r>
          </w:p>
        </w:tc>
        <w:tc>
          <w:tcPr>
            <w:tcW w:type="dxa" w:w="4896"/>
            <w:tcMar>
              <w:top w:type="dxa" w:w="80"/>
              <w:left w:type="dxa" w:w="100"/>
              <w:bottom w:type="dxa" w:w="80"/>
              <w:right w:type="dxa" w:w="100"/>
            </w:tcMar>
          </w:tcPr>
          <w:p>
            <w:r>
              <w:rPr>
                <w:b w:val="false"/>
                <w:bCs w:val="false"/>
                <w:sz w:val="20"/>
                <w:szCs w:val="20"/>
              </w:rPr>
              <w:t xml:space="preserve">Contains real 5-step gated content (Req Lv 9/12/15/18/20) with Class outputs (“Open Class: Heavy Swordsman”) — this is the working data for skill-upgrade content and the best available source of real Feat-shaped material</w:t>
            </w:r>
          </w:p>
        </w:tc>
      </w:tr>
      <w:tr>
        <w:tc>
          <w:tcPr>
            <w:tcW w:type="dxa" w:w="2880"/>
            <w:tcMar>
              <w:top w:type="dxa" w:w="80"/>
              <w:left w:type="dxa" w:w="100"/>
              <w:bottom w:type="dxa" w:w="80"/>
              <w:right w:type="dxa" w:w="100"/>
            </w:tcMar>
          </w:tcPr>
          <w:p>
            <w:r>
              <w:rPr>
                <w:b w:val="false"/>
                <w:bCs w:val="false"/>
                <w:sz w:val="20"/>
                <w:szCs w:val="20"/>
              </w:rPr>
              <w:t xml:space="preserve">Anti tab</w:t>
            </w:r>
          </w:p>
        </w:tc>
        <w:tc>
          <w:tcPr>
            <w:tcW w:type="dxa" w:w="2016"/>
            <w:tcMar>
              <w:top w:type="dxa" w:w="80"/>
              <w:left w:type="dxa" w:w="100"/>
              <w:bottom w:type="dxa" w:w="80"/>
              <w:right w:type="dxa" w:w="100"/>
            </w:tcMar>
          </w:tcPr>
          <w:p>
            <w:r>
              <w:rPr>
                <w:b w:val="false"/>
                <w:bCs w:val="false"/>
                <w:sz w:val="20"/>
                <w:szCs w:val="20"/>
              </w:rPr>
              <w:t xml:space="preserve">Kept, not yet extracted</w:t>
            </w:r>
          </w:p>
        </w:tc>
        <w:tc>
          <w:tcPr>
            <w:tcW w:type="dxa" w:w="4896"/>
            <w:tcMar>
              <w:top w:type="dxa" w:w="80"/>
              <w:left w:type="dxa" w:w="100"/>
              <w:bottom w:type="dxa" w:w="80"/>
              <w:right w:type="dxa" w:w="100"/>
            </w:tcMar>
          </w:tcPr>
          <w:p>
            <w:r>
              <w:rPr>
                <w:b w:val="false"/>
                <w:bCs w:val="false"/>
                <w:sz w:val="20"/>
                <w:szCs w:val="20"/>
              </w:rPr>
              <w:t xml:space="preserve">Attribute-ceiling perks; popular category, needs its own CSV pass</w:t>
            </w:r>
          </w:p>
        </w:tc>
      </w:tr>
      <w:tr>
        <w:tc>
          <w:tcPr>
            <w:tcW w:type="dxa" w:w="2880"/>
            <w:tcMar>
              <w:top w:type="dxa" w:w="80"/>
              <w:left w:type="dxa" w:w="100"/>
              <w:bottom w:type="dxa" w:w="80"/>
              <w:right w:type="dxa" w:w="100"/>
            </w:tcMar>
          </w:tcPr>
          <w:p>
            <w:r>
              <w:rPr>
                <w:b w:val="false"/>
                <w:bCs w:val="false"/>
                <w:sz w:val="20"/>
                <w:szCs w:val="20"/>
              </w:rPr>
              <w:t xml:space="preserve">Skill Detail tab / Sheet3 per-level template</w:t>
            </w:r>
          </w:p>
        </w:tc>
        <w:tc>
          <w:tcPr>
            <w:tcW w:type="dxa" w:w="2016"/>
            <w:tcMar>
              <w:top w:type="dxa" w:w="80"/>
              <w:left w:type="dxa" w:w="100"/>
              <w:bottom w:type="dxa" w:w="80"/>
              <w:right w:type="dxa" w:w="100"/>
            </w:tcMar>
          </w:tcPr>
          <w:p>
            <w:r>
              <w:rPr>
                <w:b w:val="false"/>
                <w:bCs w:val="false"/>
                <w:sz w:val="20"/>
                <w:szCs w:val="20"/>
              </w:rPr>
              <w:t xml:space="preserve">Discarded content, reference only</w:t>
            </w:r>
          </w:p>
        </w:tc>
        <w:tc>
          <w:tcPr>
            <w:tcW w:type="dxa" w:w="4896"/>
            <w:tcMar>
              <w:top w:type="dxa" w:w="80"/>
              <w:left w:type="dxa" w:w="100"/>
              <w:bottom w:type="dxa" w:w="80"/>
              <w:right w:type="dxa" w:w="100"/>
            </w:tcMar>
          </w:tcPr>
          <w:p>
            <w:r>
              <w:rPr>
                <w:b w:val="false"/>
                <w:bCs w:val="false"/>
                <w:sz w:val="20"/>
                <w:szCs w:val="20"/>
              </w:rPr>
              <w:t xml:space="preserve">Superseded by the simplified level-milestone model in §4.1. Do not build against it.</w:t>
            </w:r>
          </w:p>
        </w:tc>
      </w:tr>
      <w:tr>
        <w:tc>
          <w:tcPr>
            <w:tcW w:type="dxa" w:w="2880"/>
            <w:tcMar>
              <w:top w:type="dxa" w:w="80"/>
              <w:left w:type="dxa" w:w="100"/>
              <w:bottom w:type="dxa" w:w="80"/>
              <w:right w:type="dxa" w:w="100"/>
            </w:tcMar>
          </w:tcPr>
          <w:p>
            <w:r>
              <w:rPr>
                <w:b w:val="false"/>
                <w:bCs w:val="false"/>
                <w:sz w:val="20"/>
                <w:szCs w:val="20"/>
              </w:rPr>
              <w:t xml:space="preserve">Attribute Feat workbook</w:t>
            </w:r>
          </w:p>
        </w:tc>
        <w:tc>
          <w:tcPr>
            <w:tcW w:type="dxa" w:w="2016"/>
            <w:tcMar>
              <w:top w:type="dxa" w:w="80"/>
              <w:left w:type="dxa" w:w="100"/>
              <w:bottom w:type="dxa" w:w="80"/>
              <w:right w:type="dxa" w:w="100"/>
            </w:tcMar>
          </w:tcPr>
          <w:p>
            <w:r>
              <w:rPr>
                <w:b w:val="false"/>
                <w:bCs w:val="false"/>
                <w:sz w:val="20"/>
                <w:szCs w:val="20"/>
              </w:rPr>
              <w:t xml:space="preserve">Small, exists</w:t>
            </w:r>
          </w:p>
        </w:tc>
        <w:tc>
          <w:tcPr>
            <w:tcW w:type="dxa" w:w="4896"/>
            <w:tcMar>
              <w:top w:type="dxa" w:w="80"/>
              <w:left w:type="dxa" w:w="100"/>
              <w:bottom w:type="dxa" w:w="80"/>
              <w:right w:type="dxa" w:w="100"/>
            </w:tcMar>
          </w:tcPr>
          <w:p>
            <w:r>
              <w:rPr>
                <w:b w:val="false"/>
                <w:bCs w:val="false"/>
                <w:sz w:val="20"/>
                <w:szCs w:val="20"/>
              </w:rPr>
              <w:t xml:space="preserve">Only real Feat content beyond Advanced Knowledge; most later Feats reference D&amp;D or are conceptual only</w:t>
            </w:r>
          </w:p>
        </w:tc>
      </w:tr>
      <w:tr>
        <w:tc>
          <w:tcPr>
            <w:tcW w:type="dxa" w:w="2880"/>
            <w:tcMar>
              <w:top w:type="dxa" w:w="80"/>
              <w:left w:type="dxa" w:w="100"/>
              <w:bottom w:type="dxa" w:w="80"/>
              <w:right w:type="dxa" w:w="100"/>
            </w:tcMar>
          </w:tcPr>
          <w:p>
            <w:r>
              <w:rPr>
                <w:b w:val="false"/>
                <w:bCs w:val="false"/>
                <w:sz w:val="20"/>
                <w:szCs w:val="20"/>
              </w:rPr>
              <w:t xml:space="preserve">Alignment_Spiral_V0.xlsx</w:t>
            </w:r>
          </w:p>
        </w:tc>
        <w:tc>
          <w:tcPr>
            <w:tcW w:type="dxa" w:w="2016"/>
            <w:tcMar>
              <w:top w:type="dxa" w:w="80"/>
              <w:left w:type="dxa" w:w="100"/>
              <w:bottom w:type="dxa" w:w="80"/>
              <w:right w:type="dxa" w:w="100"/>
            </w:tcMar>
          </w:tcPr>
          <w:p>
            <w:r>
              <w:rPr>
                <w:b w:val="false"/>
                <w:bCs w:val="false"/>
                <w:sz w:val="20"/>
                <w:szCs w:val="20"/>
              </w:rPr>
              <w:t xml:space="preserve">Spatial layout, not tabular</w:t>
            </w:r>
          </w:p>
        </w:tc>
        <w:tc>
          <w:tcPr>
            <w:tcW w:type="dxa" w:w="4896"/>
            <w:tcMar>
              <w:top w:type="dxa" w:w="80"/>
              <w:left w:type="dxa" w:w="100"/>
              <w:bottom w:type="dxa" w:w="80"/>
              <w:right w:type="dxa" w:w="100"/>
            </w:tcMar>
          </w:tcPr>
          <w:p>
            <w:r>
              <w:rPr>
                <w:b w:val="false"/>
                <w:bCs w:val="false"/>
                <w:sz w:val="20"/>
                <w:szCs w:val="20"/>
              </w:rPr>
              <w:t xml:space="preserve">Confirmed not a source for the feat graph; useful only as a UI/suspension-state precedent (§7)</w:t>
            </w:r>
          </w:p>
        </w:tc>
      </w:tr>
    </w:tbl>
    <w:p>
      <w:pPr>
        <w:pStyle w:val="Heading1"/>
        <w:spacing w:after="160" w:before="320"/>
      </w:pPr>
      <w:r>
        <w:t xml:space="preserve">10. Layout and rendering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48"/>
        <w:gridCol w:w="7488"/>
      </w:tblGrid>
      <w:tr>
        <w:trPr>
          <w:tblHeader/>
        </w:trPr>
        <w:tc>
          <w:tcPr>
            <w:tcW w:type="dxa" w:w="2448"/>
            <w:shd w:fill="E7E6E6" w:color="auto" w:val="clear"/>
            <w:tcMar>
              <w:top w:type="dxa" w:w="80"/>
              <w:left w:type="dxa" w:w="100"/>
              <w:bottom w:type="dxa" w:w="80"/>
              <w:right w:type="dxa" w:w="100"/>
            </w:tcMar>
          </w:tcPr>
          <w:p>
            <w:r>
              <w:rPr>
                <w:b/>
                <w:bCs/>
                <w:sz w:val="20"/>
                <w:szCs w:val="20"/>
              </w:rPr>
              <w:t xml:space="preserve">Element</w:t>
            </w:r>
          </w:p>
        </w:tc>
        <w:tc>
          <w:tcPr>
            <w:tcW w:type="dxa" w:w="7488"/>
            <w:shd w:fill="E7E6E6" w:color="auto" w:val="clear"/>
            <w:tcMar>
              <w:top w:type="dxa" w:w="80"/>
              <w:left w:type="dxa" w:w="100"/>
              <w:bottom w:type="dxa" w:w="80"/>
              <w:right w:type="dxa" w:w="100"/>
            </w:tcMar>
          </w:tcPr>
          <w:p>
            <w:r>
              <w:rPr>
                <w:b/>
                <w:bCs/>
                <w:sz w:val="20"/>
                <w:szCs w:val="20"/>
              </w:rPr>
              <w:t xml:space="preserve">Approach</w:t>
            </w:r>
          </w:p>
        </w:tc>
      </w:tr>
      <w:tr>
        <w:tc>
          <w:tcPr>
            <w:tcW w:type="dxa" w:w="2448"/>
            <w:tcMar>
              <w:top w:type="dxa" w:w="80"/>
              <w:left w:type="dxa" w:w="100"/>
              <w:bottom w:type="dxa" w:w="80"/>
              <w:right w:type="dxa" w:w="100"/>
            </w:tcMar>
          </w:tcPr>
          <w:p>
            <w:r>
              <w:rPr>
                <w:b w:val="false"/>
                <w:bCs w:val="false"/>
                <w:sz w:val="20"/>
                <w:szCs w:val="20"/>
              </w:rPr>
              <w:t xml:space="preserve">Overall shape</w:t>
            </w:r>
          </w:p>
        </w:tc>
        <w:tc>
          <w:tcPr>
            <w:tcW w:type="dxa" w:w="7488"/>
            <w:tcMar>
              <w:top w:type="dxa" w:w="80"/>
              <w:left w:type="dxa" w:w="100"/>
              <w:bottom w:type="dxa" w:w="80"/>
              <w:right w:type="dxa" w:w="100"/>
            </w:tcMar>
          </w:tcPr>
          <w:p>
            <w:r>
              <w:rPr>
                <w:b w:val="false"/>
                <w:bCs w:val="false"/>
                <w:sz w:val="20"/>
                <w:szCs w:val="20"/>
              </w:rPr>
              <w:t xml:space="preserve">Hub-and-cluster forest, NOT one continuous PoE canvas. v0.1 assumed a single unbroken tree; the real data is multiple Skill roots each producing a few tight clusters, which is structurally a forest. Forcing one continuous canvas would require inventing fake connective edges between unrelated clusters (e.g. Melee Weapons ↔ Diplomacy) that misstate the rules.</w:t>
            </w:r>
          </w:p>
        </w:tc>
      </w:tr>
      <w:tr>
        <w:tc>
          <w:tcPr>
            <w:tcW w:type="dxa" w:w="2448"/>
            <w:tcMar>
              <w:top w:type="dxa" w:w="80"/>
              <w:left w:type="dxa" w:w="100"/>
              <w:bottom w:type="dxa" w:w="80"/>
              <w:right w:type="dxa" w:w="100"/>
            </w:tcMar>
          </w:tcPr>
          <w:p>
            <w:r>
              <w:rPr>
                <w:b w:val="false"/>
                <w:bCs w:val="false"/>
                <w:sz w:val="20"/>
                <w:szCs w:val="20"/>
              </w:rPr>
              <w:t xml:space="preserve">Hub</w:t>
            </w:r>
          </w:p>
        </w:tc>
        <w:tc>
          <w:tcPr>
            <w:tcW w:type="dxa" w:w="7488"/>
            <w:tcMar>
              <w:top w:type="dxa" w:w="80"/>
              <w:left w:type="dxa" w:w="100"/>
              <w:bottom w:type="dxa" w:w="80"/>
              <w:right w:type="dxa" w:w="100"/>
            </w:tcMar>
          </w:tcPr>
          <w:p>
            <w:r>
              <w:rPr>
                <w:b w:val="false"/>
                <w:bCs w:val="false"/>
                <w:sz w:val="20"/>
                <w:szCs w:val="20"/>
              </w:rPr>
              <w:t xml:space="preserve">One canvas per Class. The Class sits at center with its own Insight track, Unlock Lines, and Keystones rendered as an inner ring (§3.3)</w:t>
            </w:r>
          </w:p>
        </w:tc>
      </w:tr>
      <w:tr>
        <w:tc>
          <w:tcPr>
            <w:tcW w:type="dxa" w:w="2448"/>
            <w:tcMar>
              <w:top w:type="dxa" w:w="80"/>
              <w:left w:type="dxa" w:w="100"/>
              <w:bottom w:type="dxa" w:w="80"/>
              <w:right w:type="dxa" w:w="100"/>
            </w:tcMar>
          </w:tcPr>
          <w:p>
            <w:r>
              <w:rPr>
                <w:b w:val="false"/>
                <w:bCs w:val="false"/>
                <w:sz w:val="20"/>
                <w:szCs w:val="20"/>
              </w:rPr>
              <w:t xml:space="preserve">Clusters</w:t>
            </w:r>
          </w:p>
        </w:tc>
        <w:tc>
          <w:tcPr>
            <w:tcW w:type="dxa" w:w="7488"/>
            <w:tcMar>
              <w:top w:type="dxa" w:w="80"/>
              <w:left w:type="dxa" w:w="100"/>
              <w:bottom w:type="dxa" w:w="80"/>
              <w:right w:type="dxa" w:w="100"/>
            </w:tcMar>
          </w:tcPr>
          <w:p>
            <w:r>
              <w:rPr>
                <w:b w:val="false"/>
                <w:bCs w:val="false"/>
                <w:sz w:val="20"/>
                <w:szCs w:val="20"/>
              </w:rPr>
              <w:t xml:space="preserve">Each Skill aligned to that Class radiates outward as its own self-contained, requirement-gated cluster (Melee Weapons cluster, Armor cluster, Battle cluster, ...)</w:t>
            </w:r>
          </w:p>
        </w:tc>
      </w:tr>
      <w:tr>
        <w:tc>
          <w:tcPr>
            <w:tcW w:type="dxa" w:w="2448"/>
            <w:tcMar>
              <w:top w:type="dxa" w:w="80"/>
              <w:left w:type="dxa" w:w="100"/>
              <w:bottom w:type="dxa" w:w="80"/>
              <w:right w:type="dxa" w:w="100"/>
            </w:tcMar>
          </w:tcPr>
          <w:p>
            <w:r>
              <w:rPr>
                <w:b w:val="false"/>
                <w:bCs w:val="false"/>
                <w:sz w:val="20"/>
                <w:szCs w:val="20"/>
              </w:rPr>
              <w:t xml:space="preserve">Cross-cluster edges</w:t>
            </w:r>
          </w:p>
        </w:tc>
        <w:tc>
          <w:tcPr>
            <w:tcW w:type="dxa" w:w="7488"/>
            <w:tcMar>
              <w:top w:type="dxa" w:w="80"/>
              <w:left w:type="dxa" w:w="100"/>
              <w:bottom w:type="dxa" w:w="80"/>
              <w:right w:type="dxa" w:w="100"/>
            </w:tcMar>
          </w:tcPr>
          <w:p>
            <w:r>
              <w:rPr>
                <w:b w:val="false"/>
                <w:bCs w:val="false"/>
                <w:sz w:val="20"/>
                <w:szCs w:val="20"/>
              </w:rPr>
              <w:t xml:space="preserve">Drawn ONLY where a real requirement crosses clusters (e.g. a Keystone requiring both Battle Lv 10 AND Warrior Tier 0) — never as decoration</w:t>
            </w:r>
          </w:p>
        </w:tc>
      </w:tr>
      <w:tr>
        <w:tc>
          <w:tcPr>
            <w:tcW w:type="dxa" w:w="2448"/>
            <w:tcMar>
              <w:top w:type="dxa" w:w="80"/>
              <w:left w:type="dxa" w:w="100"/>
              <w:bottom w:type="dxa" w:w="80"/>
              <w:right w:type="dxa" w:w="100"/>
            </w:tcMar>
          </w:tcPr>
          <w:p>
            <w:r>
              <w:rPr>
                <w:b w:val="false"/>
                <w:bCs w:val="false"/>
                <w:sz w:val="20"/>
                <w:szCs w:val="20"/>
              </w:rPr>
              <w:t xml:space="preserve">Radius within a cluster</w:t>
            </w:r>
          </w:p>
        </w:tc>
        <w:tc>
          <w:tcPr>
            <w:tcW w:type="dxa" w:w="7488"/>
            <w:tcMar>
              <w:top w:type="dxa" w:w="80"/>
              <w:left w:type="dxa" w:w="100"/>
              <w:bottom w:type="dxa" w:w="80"/>
              <w:right w:type="dxa" w:w="100"/>
            </w:tcMar>
          </w:tcPr>
          <w:p>
            <w:r>
              <w:rPr>
                <w:b w:val="false"/>
                <w:bCs w:val="false"/>
                <w:sz w:val="20"/>
                <w:szCs w:val="20"/>
              </w:rPr>
              <w:t xml:space="preserve">Tier distance from the cluster's own center (Entry inner ring → Master outer ring)</w:t>
            </w:r>
          </w:p>
        </w:tc>
      </w:tr>
      <w:tr>
        <w:tc>
          <w:tcPr>
            <w:tcW w:type="dxa" w:w="2448"/>
            <w:tcMar>
              <w:top w:type="dxa" w:w="80"/>
              <w:left w:type="dxa" w:w="100"/>
              <w:bottom w:type="dxa" w:w="80"/>
              <w:right w:type="dxa" w:w="100"/>
            </w:tcMar>
          </w:tcPr>
          <w:p>
            <w:r>
              <w:rPr>
                <w:b w:val="false"/>
                <w:bCs w:val="false"/>
                <w:sz w:val="20"/>
                <w:szCs w:val="20"/>
              </w:rPr>
              <w:t xml:space="preserve">Zone scoping</w:t>
            </w:r>
          </w:p>
        </w:tc>
        <w:tc>
          <w:tcPr>
            <w:tcW w:type="dxa" w:w="7488"/>
            <w:tcMar>
              <w:top w:type="dxa" w:w="80"/>
              <w:left w:type="dxa" w:w="100"/>
              <w:bottom w:type="dxa" w:w="80"/>
              <w:right w:type="dxa" w:w="100"/>
            </w:tcMar>
          </w:tcPr>
          <w:p>
            <w:r>
              <w:rPr>
                <w:b w:val="false"/>
                <w:bCs w:val="false"/>
                <w:sz w:val="20"/>
                <w:szCs w:val="20"/>
              </w:rPr>
              <w:t xml:space="preserve">One zone dataset loaded at a time (§11); node count per zone stays bounded even as total catalog size grows</w:t>
            </w:r>
          </w:p>
        </w:tc>
      </w:tr>
      <w:tr>
        <w:tc>
          <w:tcPr>
            <w:tcW w:type="dxa" w:w="2448"/>
            <w:tcMar>
              <w:top w:type="dxa" w:w="80"/>
              <w:left w:type="dxa" w:w="100"/>
              <w:bottom w:type="dxa" w:w="80"/>
              <w:right w:type="dxa" w:w="100"/>
            </w:tcMar>
          </w:tcPr>
          <w:p>
            <w:r>
              <w:rPr>
                <w:b w:val="false"/>
                <w:bCs w:val="false"/>
                <w:sz w:val="20"/>
                <w:szCs w:val="20"/>
              </w:rPr>
              <w:t xml:space="preserve">Hidden from player</w:t>
            </w:r>
          </w:p>
        </w:tc>
        <w:tc>
          <w:tcPr>
            <w:tcW w:type="dxa" w:w="7488"/>
            <w:tcMar>
              <w:top w:type="dxa" w:w="80"/>
              <w:left w:type="dxa" w:w="100"/>
              <w:bottom w:type="dxa" w:w="80"/>
              <w:right w:type="dxa" w:w="100"/>
            </w:tcMar>
          </w:tcPr>
          <w:p>
            <w:r>
              <w:rPr>
                <w:b w:val="false"/>
                <w:bCs w:val="false"/>
                <w:sz w:val="20"/>
                <w:szCs w:val="20"/>
              </w:rPr>
              <w:t xml:space="preserve">Factors/normalized weights, purpose-atomicity bookkeeping, Root-gate machinery, both ledgers as literal ledgers, the warning engine</w:t>
            </w:r>
          </w:p>
        </w:tc>
      </w:tr>
      <w:tr>
        <w:tc>
          <w:tcPr>
            <w:tcW w:type="dxa" w:w="2448"/>
            <w:tcMar>
              <w:top w:type="dxa" w:w="80"/>
              <w:left w:type="dxa" w:w="100"/>
              <w:bottom w:type="dxa" w:w="80"/>
              <w:right w:type="dxa" w:w="100"/>
            </w:tcMar>
          </w:tcPr>
          <w:p>
            <w:r>
              <w:rPr>
                <w:b w:val="false"/>
                <w:bCs w:val="false"/>
                <w:sz w:val="20"/>
                <w:szCs w:val="20"/>
              </w:rPr>
              <w:t xml:space="preserve">Shown to player</w:t>
            </w:r>
          </w:p>
        </w:tc>
        <w:tc>
          <w:tcPr>
            <w:tcW w:type="dxa" w:w="7488"/>
            <w:tcMar>
              <w:top w:type="dxa" w:w="80"/>
              <w:left w:type="dxa" w:w="100"/>
              <w:bottom w:type="dxa" w:w="80"/>
              <w:right w:type="dxa" w:w="100"/>
            </w:tcMar>
          </w:tcPr>
          <w:p>
            <w:r>
              <w:rPr>
                <w:b w:val="false"/>
                <w:bCs w:val="false"/>
                <w:sz w:val="20"/>
                <w:szCs w:val="20"/>
              </w:rPr>
              <w:t xml:space="preserve">Node name, tier badge, one-line Before→After, requirement checklist (red/green), Boundary text (§6.7), CP/XP cost, “this retires: X, Y, Z” for Fusion nodes</w:t>
            </w:r>
          </w:p>
        </w:tc>
      </w:tr>
    </w:tbl>
    <w:p>
      <w:pPr>
        <w:pStyle w:val="Heading1"/>
        <w:spacing w:after="160" w:before="320"/>
      </w:pPr>
      <w:r>
        <w:t xml:space="preserve">11. Zone scoping</w:t>
      </w:r>
    </w:p>
    <w:p>
      <w:pPr>
        <w:spacing w:after="160"/>
      </w:pPr>
      <w:r>
        <w:rPr>
          <w:b w:val="false"/>
          <w:bCs w:val="false"/>
          <w:i w:val="false"/>
          <w:iCs w:val="false"/>
        </w:rPr>
        <w:t xml:space="preserve">Everything above Skill level 10 (Specializations are the exception, being universal) is zone-local: Advanced Knowledge, most Feats, and locally-flavoured perk roots belong to a setting, the way a demon-worship branch exists in one territory and an angel-aligned equivalent exists in another. A skill arrangement per zone is self-contained, comparable to a boxed campaign setting (Ravenloft-style). This is what keeps the eventual node count bounded despite cultural diversity: the app loads one zone dataset at a time rather than a single global graph containing every setting's content simultaneously.</w:t>
      </w:r>
    </w:p>
    <w:p>
      <w:pPr>
        <w:pStyle w:val="Heading1"/>
        <w:spacing w:after="160" w:before="320"/>
      </w:pPr>
      <w:r>
        <w:t xml:space="preserve">12. Open questions log</w:t>
      </w:r>
    </w:p>
    <w:p>
      <w:pPr>
        <w:spacing w:after="160"/>
      </w:pPr>
      <w:r>
        <w:rPr>
          <w:b w:val="false"/>
          <w:bCs w:val="false"/>
          <w:i w:val="false"/>
          <w:iCs w:val="false"/>
        </w:rPr>
        <w:t xml:space="preserve">v0.1 items #1–#3 (dice/success-band numbers) and #5 (Advanced Knowledge as the real Feat data) are CLOSED as of v0.2 — see §4.2 and §3. Remaining and newly surfaced items below.</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20"/>
        <w:gridCol w:w="6768"/>
        <w:gridCol w:w="2448"/>
      </w:tblGrid>
      <w:tr>
        <w:trPr>
          <w:tblHeader/>
        </w:trPr>
        <w:tc>
          <w:tcPr>
            <w:tcW w:type="dxa" w:w="720"/>
            <w:shd w:fill="E7E6E6" w:color="auto" w:val="clear"/>
            <w:tcMar>
              <w:top w:type="dxa" w:w="80"/>
              <w:left w:type="dxa" w:w="100"/>
              <w:bottom w:type="dxa" w:w="80"/>
              <w:right w:type="dxa" w:w="100"/>
            </w:tcMar>
          </w:tcPr>
          <w:p>
            <w:r>
              <w:rPr>
                <w:b/>
                <w:bCs/>
                <w:sz w:val="20"/>
                <w:szCs w:val="20"/>
              </w:rPr>
              <w:t xml:space="preserve">#</w:t>
            </w:r>
          </w:p>
        </w:tc>
        <w:tc>
          <w:tcPr>
            <w:tcW w:type="dxa" w:w="6768"/>
            <w:shd w:fill="E7E6E6" w:color="auto" w:val="clear"/>
            <w:tcMar>
              <w:top w:type="dxa" w:w="80"/>
              <w:left w:type="dxa" w:w="100"/>
              <w:bottom w:type="dxa" w:w="80"/>
              <w:right w:type="dxa" w:w="100"/>
            </w:tcMar>
          </w:tcPr>
          <w:p>
            <w:r>
              <w:rPr>
                <w:b/>
                <w:bCs/>
                <w:sz w:val="20"/>
                <w:szCs w:val="20"/>
              </w:rPr>
              <w:t xml:space="preserve">Question</w:t>
            </w:r>
          </w:p>
        </w:tc>
        <w:tc>
          <w:tcPr>
            <w:tcW w:type="dxa" w:w="2448"/>
            <w:shd w:fill="E7E6E6" w:color="auto" w:val="clear"/>
            <w:tcMar>
              <w:top w:type="dxa" w:w="80"/>
              <w:left w:type="dxa" w:w="100"/>
              <w:bottom w:type="dxa" w:w="80"/>
              <w:right w:type="dxa" w:w="100"/>
            </w:tcMar>
          </w:tcPr>
          <w:p>
            <w:r>
              <w:rPr>
                <w:b/>
                <w:bCs/>
                <w:sz w:val="20"/>
                <w:szCs w:val="20"/>
              </w:rPr>
              <w:t xml:space="preserve">Blocks</w:t>
            </w:r>
          </w:p>
        </w:tc>
      </w:tr>
      <w:tr>
        <w:tc>
          <w:tcPr>
            <w:tcW w:type="dxa" w:w="720"/>
            <w:tcMar>
              <w:top w:type="dxa" w:w="80"/>
              <w:left w:type="dxa" w:w="100"/>
              <w:bottom w:type="dxa" w:w="80"/>
              <w:right w:type="dxa" w:w="100"/>
            </w:tcMar>
          </w:tcPr>
          <w:p>
            <w:r>
              <w:rPr>
                <w:b w:val="false"/>
                <w:bCs w:val="false"/>
                <w:sz w:val="20"/>
                <w:szCs w:val="20"/>
              </w:rPr>
              <w:t xml:space="preserve">1</w:t>
            </w:r>
          </w:p>
        </w:tc>
        <w:tc>
          <w:tcPr>
            <w:tcW w:type="dxa" w:w="6768"/>
            <w:tcMar>
              <w:top w:type="dxa" w:w="80"/>
              <w:left w:type="dxa" w:w="100"/>
              <w:bottom w:type="dxa" w:w="80"/>
              <w:right w:type="dxa" w:w="100"/>
            </w:tcMar>
          </w:tcPr>
          <w:p>
            <w:r>
              <w:rPr>
                <w:b w:val="false"/>
                <w:bCs w:val="false"/>
                <w:sz w:val="20"/>
                <w:szCs w:val="20"/>
              </w:rPr>
              <w:t xml:space="preserve">Clause-tier equivalence / effect-family ladders (attack, damage, defense, resistance, coverage, permission, conditional reliability) — explicitly named as unproven in the Authoring GDD v2 itself (§12 of that doc), not just in this savepoint</w:t>
            </w:r>
          </w:p>
        </w:tc>
        <w:tc>
          <w:tcPr>
            <w:tcW w:type="dxa" w:w="2448"/>
            <w:tcMar>
              <w:top w:type="dxa" w:w="80"/>
              <w:left w:type="dxa" w:w="100"/>
              <w:bottom w:type="dxa" w:w="80"/>
              <w:right w:type="dxa" w:w="100"/>
            </w:tcMar>
          </w:tcPr>
          <w:p>
            <w:r>
              <w:rPr>
                <w:b w:val="false"/>
                <w:bCs w:val="false"/>
                <w:sz w:val="20"/>
                <w:szCs w:val="20"/>
              </w:rPr>
              <w:t xml:space="preserve">Whether the 5-family model in §5 can be finalized before bulk Perk authoring, or needs a dedicated playtest pass first</w:t>
            </w:r>
          </w:p>
        </w:tc>
      </w:tr>
      <w:tr>
        <w:tc>
          <w:tcPr>
            <w:tcW w:type="dxa" w:w="720"/>
            <w:tcMar>
              <w:top w:type="dxa" w:w="80"/>
              <w:left w:type="dxa" w:w="100"/>
              <w:bottom w:type="dxa" w:w="80"/>
              <w:right w:type="dxa" w:w="100"/>
            </w:tcMar>
          </w:tcPr>
          <w:p>
            <w:r>
              <w:rPr>
                <w:b w:val="false"/>
                <w:bCs w:val="false"/>
                <w:sz w:val="20"/>
                <w:szCs w:val="20"/>
              </w:rPr>
              <w:t xml:space="preserve">2</w:t>
            </w:r>
          </w:p>
        </w:tc>
        <w:tc>
          <w:tcPr>
            <w:tcW w:type="dxa" w:w="6768"/>
            <w:tcMar>
              <w:top w:type="dxa" w:w="80"/>
              <w:left w:type="dxa" w:w="100"/>
              <w:bottom w:type="dxa" w:w="80"/>
              <w:right w:type="dxa" w:w="100"/>
            </w:tcMar>
          </w:tcPr>
          <w:p>
            <w:r>
              <w:rPr>
                <w:b w:val="false"/>
                <w:bCs w:val="false"/>
                <w:sz w:val="20"/>
                <w:szCs w:val="20"/>
              </w:rPr>
              <w:t xml:space="preserve">Do all observed Perks fit the five effect families in §5, with no residual category?</w:t>
            </w:r>
          </w:p>
        </w:tc>
        <w:tc>
          <w:tcPr>
            <w:tcW w:type="dxa" w:w="2448"/>
            <w:tcMar>
              <w:top w:type="dxa" w:w="80"/>
              <w:left w:type="dxa" w:w="100"/>
              <w:bottom w:type="dxa" w:w="80"/>
              <w:right w:type="dxa" w:w="100"/>
            </w:tcMar>
          </w:tcPr>
          <w:p>
            <w:r>
              <w:rPr>
                <w:b w:val="false"/>
                <w:bCs w:val="false"/>
                <w:sz w:val="20"/>
                <w:szCs w:val="20"/>
              </w:rPr>
              <w:t xml:space="preserve">Confirming the Perk schema is complete before bulk conversion of Advanced Knowledge</w:t>
            </w:r>
          </w:p>
        </w:tc>
      </w:tr>
      <w:tr>
        <w:tc>
          <w:tcPr>
            <w:tcW w:type="dxa" w:w="720"/>
            <w:tcMar>
              <w:top w:type="dxa" w:w="80"/>
              <w:left w:type="dxa" w:w="100"/>
              <w:bottom w:type="dxa" w:w="80"/>
              <w:right w:type="dxa" w:w="100"/>
            </w:tcMar>
          </w:tcPr>
          <w:p>
            <w:r>
              <w:rPr>
                <w:b w:val="false"/>
                <w:bCs w:val="false"/>
                <w:sz w:val="20"/>
                <w:szCs w:val="20"/>
              </w:rPr>
              <w:t xml:space="preserve">3</w:t>
            </w:r>
          </w:p>
        </w:tc>
        <w:tc>
          <w:tcPr>
            <w:tcW w:type="dxa" w:w="6768"/>
            <w:tcMar>
              <w:top w:type="dxa" w:w="80"/>
              <w:left w:type="dxa" w:w="100"/>
              <w:bottom w:type="dxa" w:w="80"/>
              <w:right w:type="dxa" w:w="100"/>
            </w:tcMar>
          </w:tcPr>
          <w:p>
            <w:r>
              <w:rPr>
                <w:b w:val="false"/>
                <w:bCs w:val="false"/>
                <w:sz w:val="20"/>
                <w:szCs w:val="20"/>
              </w:rPr>
              <w:t xml:space="preserve">CAR vs CHA — confirm single canonical attribute code and normalize the 16 mismatched rows</w:t>
            </w:r>
          </w:p>
        </w:tc>
        <w:tc>
          <w:tcPr>
            <w:tcW w:type="dxa" w:w="2448"/>
            <w:tcMar>
              <w:top w:type="dxa" w:w="80"/>
              <w:left w:type="dxa" w:w="100"/>
              <w:bottom w:type="dxa" w:w="80"/>
              <w:right w:type="dxa" w:w="100"/>
            </w:tcMar>
          </w:tcPr>
          <w:p>
            <w:r>
              <w:rPr>
                <w:b w:val="false"/>
                <w:bCs w:val="false"/>
                <w:sz w:val="20"/>
                <w:szCs w:val="20"/>
              </w:rPr>
              <w:t xml:space="preserve">Clean attribute references across all CSVs</w:t>
            </w:r>
          </w:p>
        </w:tc>
      </w:tr>
      <w:tr>
        <w:tc>
          <w:tcPr>
            <w:tcW w:type="dxa" w:w="720"/>
            <w:tcMar>
              <w:top w:type="dxa" w:w="80"/>
              <w:left w:type="dxa" w:w="100"/>
              <w:bottom w:type="dxa" w:w="80"/>
              <w:right w:type="dxa" w:w="100"/>
            </w:tcMar>
          </w:tcPr>
          <w:p>
            <w:r>
              <w:rPr>
                <w:b w:val="false"/>
                <w:bCs w:val="false"/>
                <w:sz w:val="20"/>
                <w:szCs w:val="20"/>
              </w:rPr>
              <w:t xml:space="preserve">4</w:t>
            </w:r>
          </w:p>
        </w:tc>
        <w:tc>
          <w:tcPr>
            <w:tcW w:type="dxa" w:w="6768"/>
            <w:tcMar>
              <w:top w:type="dxa" w:w="80"/>
              <w:left w:type="dxa" w:w="100"/>
              <w:bottom w:type="dxa" w:w="80"/>
              <w:right w:type="dxa" w:w="100"/>
            </w:tcMar>
          </w:tcPr>
          <w:p>
            <w:r>
              <w:rPr>
                <w:b w:val="false"/>
                <w:bCs w:val="false"/>
                <w:sz w:val="20"/>
                <w:szCs w:val="20"/>
              </w:rPr>
              <w:t xml:space="preserve">Which zone/skill family is the first fully-authored vertical slice — Warrior (Melee Weapons + Armor + Discipline + Battle + Athletics), NeutralGuild zone, is the standing candidate and now has real Class/Insight data (SpiralDemo) as well as Advanced Knowledge content through Lv 20</w:t>
            </w:r>
          </w:p>
        </w:tc>
        <w:tc>
          <w:tcPr>
            <w:tcW w:type="dxa" w:w="2448"/>
            <w:tcMar>
              <w:top w:type="dxa" w:w="80"/>
              <w:left w:type="dxa" w:w="100"/>
              <w:bottom w:type="dxa" w:w="80"/>
              <w:right w:type="dxa" w:w="100"/>
            </w:tcMar>
          </w:tcPr>
          <w:p>
            <w:r>
              <w:rPr>
                <w:b w:val="false"/>
                <w:bCs w:val="false"/>
                <w:sz w:val="20"/>
                <w:szCs w:val="20"/>
              </w:rPr>
              <w:t xml:space="preserve">Where implementation starts</w:t>
            </w:r>
          </w:p>
        </w:tc>
      </w:tr>
      <w:tr>
        <w:tc>
          <w:tcPr>
            <w:tcW w:type="dxa" w:w="720"/>
            <w:tcMar>
              <w:top w:type="dxa" w:w="80"/>
              <w:left w:type="dxa" w:w="100"/>
              <w:bottom w:type="dxa" w:w="80"/>
              <w:right w:type="dxa" w:w="100"/>
            </w:tcMar>
          </w:tcPr>
          <w:p>
            <w:r>
              <w:rPr>
                <w:b w:val="false"/>
                <w:bCs w:val="false"/>
                <w:sz w:val="20"/>
                <w:szCs w:val="20"/>
              </w:rPr>
              <w:t xml:space="preserve">5</w:t>
            </w:r>
          </w:p>
        </w:tc>
        <w:tc>
          <w:tcPr>
            <w:tcW w:type="dxa" w:w="6768"/>
            <w:tcMar>
              <w:top w:type="dxa" w:w="80"/>
              <w:left w:type="dxa" w:w="100"/>
              <w:bottom w:type="dxa" w:w="80"/>
              <w:right w:type="dxa" w:w="100"/>
            </w:tcMar>
          </w:tcPr>
          <w:p>
            <w:r>
              <w:rPr>
                <w:b w:val="false"/>
                <w:bCs w:val="false"/>
                <w:sz w:val="20"/>
                <w:szCs w:val="20"/>
              </w:rPr>
              <w:t xml:space="preserve">How many Advanced Knowledge branches are Trait-gated (§3.2) rather than ordinary trainer/tome-gated, in the Warrior slice specifically?</w:t>
            </w:r>
          </w:p>
        </w:tc>
        <w:tc>
          <w:tcPr>
            <w:tcW w:type="dxa" w:w="2448"/>
            <w:tcMar>
              <w:top w:type="dxa" w:w="80"/>
              <w:left w:type="dxa" w:w="100"/>
              <w:bottom w:type="dxa" w:w="80"/>
              <w:right w:type="dxa" w:w="100"/>
            </w:tcMar>
          </w:tcPr>
          <w:p>
            <w:r>
              <w:rPr>
                <w:b w:val="false"/>
                <w:bCs w:val="false"/>
                <w:sz w:val="20"/>
                <w:szCs w:val="20"/>
              </w:rPr>
              <w:t xml:space="preserve">Whether Phase 2's converter needs Source.type = TRAIT handling on day one or can defer it</w:t>
            </w:r>
          </w:p>
        </w:tc>
      </w:tr>
      <w:tr>
        <w:tc>
          <w:tcPr>
            <w:tcW w:type="dxa" w:w="720"/>
            <w:tcMar>
              <w:top w:type="dxa" w:w="80"/>
              <w:left w:type="dxa" w:w="100"/>
              <w:bottom w:type="dxa" w:w="80"/>
              <w:right w:type="dxa" w:w="100"/>
            </w:tcMar>
          </w:tcPr>
          <w:p>
            <w:r>
              <w:rPr>
                <w:b w:val="false"/>
                <w:bCs w:val="false"/>
                <w:sz w:val="20"/>
                <w:szCs w:val="20"/>
              </w:rPr>
              <w:t xml:space="preserve">6</w:t>
            </w:r>
          </w:p>
        </w:tc>
        <w:tc>
          <w:tcPr>
            <w:tcW w:type="dxa" w:w="6768"/>
            <w:tcMar>
              <w:top w:type="dxa" w:w="80"/>
              <w:left w:type="dxa" w:w="100"/>
              <w:bottom w:type="dxa" w:w="80"/>
              <w:right w:type="dxa" w:w="100"/>
            </w:tcMar>
          </w:tcPr>
          <w:p>
            <w:r>
              <w:rPr>
                <w:b w:val="false"/>
                <w:bCs w:val="false"/>
                <w:sz w:val="20"/>
                <w:szCs w:val="20"/>
              </w:rPr>
              <w:t xml:space="preserve">Values above Skill level 50 (Legendary/Transcendent bands, dice/gate milestones beyond Mastery) — not present in the SpiralDemo table</w:t>
            </w:r>
          </w:p>
        </w:tc>
        <w:tc>
          <w:tcPr>
            <w:tcW w:type="dxa" w:w="2448"/>
            <w:tcMar>
              <w:top w:type="dxa" w:w="80"/>
              <w:left w:type="dxa" w:w="100"/>
              <w:bottom w:type="dxa" w:w="80"/>
              <w:right w:type="dxa" w:w="100"/>
            </w:tcMar>
          </w:tcPr>
          <w:p>
            <w:r>
              <w:rPr>
                <w:b w:val="false"/>
                <w:bCs w:val="false"/>
                <w:sz w:val="20"/>
                <w:szCs w:val="20"/>
              </w:rPr>
              <w:t xml:space="preserve">Only blocks Master-tier content; not the MVP slice</w:t>
            </w:r>
          </w:p>
        </w:tc>
      </w:tr>
    </w:tbl>
    <w:p>
      <w:pPr>
        <w:pStyle w:val="Heading1"/>
        <w:spacing w:after="160" w:before="320"/>
      </w:pPr>
      <w:r>
        <w:t xml:space="preserve">13. Suggested build order</w:t>
      </w:r>
    </w:p>
    <w:tbl>
      <w:tblPr>
        <w:tblW w:type="dxa" w:w="9935"/>
        <w:tblBorders>
          <w:top w:val="single" w:color="auto" w:sz="4"/>
          <w:left w:val="single" w:color="auto" w:sz="4"/>
          <w:bottom w:val="single" w:color="auto" w:sz="4"/>
          <w:right w:val="single" w:color="auto" w:sz="4"/>
          <w:insideH w:val="single" w:color="auto" w:sz="4"/>
          <w:insideV w:val="single" w:color="auto" w:sz="4"/>
        </w:tblBorders>
      </w:tblPr>
      <w:tblGrid>
        <w:gridCol w:w="863"/>
        <w:gridCol w:w="9072"/>
      </w:tblGrid>
      <w:tr>
        <w:trPr>
          <w:tblHeader/>
        </w:trPr>
        <w:tc>
          <w:tcPr>
            <w:tcW w:type="dxa" w:w="863"/>
            <w:shd w:fill="E7E6E6" w:color="auto" w:val="clear"/>
            <w:tcMar>
              <w:top w:type="dxa" w:w="80"/>
              <w:left w:type="dxa" w:w="100"/>
              <w:bottom w:type="dxa" w:w="80"/>
              <w:right w:type="dxa" w:w="100"/>
            </w:tcMar>
          </w:tcPr>
          <w:p>
            <w:r>
              <w:rPr>
                <w:b/>
                <w:bCs/>
                <w:sz w:val="20"/>
                <w:szCs w:val="20"/>
              </w:rPr>
              <w:t xml:space="preserve">Step</w:t>
            </w:r>
          </w:p>
        </w:tc>
        <w:tc>
          <w:tcPr>
            <w:tcW w:type="dxa" w:w="9072"/>
            <w:shd w:fill="E7E6E6" w:color="auto" w:val="clear"/>
            <w:tcMar>
              <w:top w:type="dxa" w:w="80"/>
              <w:left w:type="dxa" w:w="100"/>
              <w:bottom w:type="dxa" w:w="80"/>
              <w:right w:type="dxa" w:w="100"/>
            </w:tcMar>
          </w:tcPr>
          <w:p>
            <w:r>
              <w:rPr>
                <w:b/>
                <w:bCs/>
                <w:sz w:val="20"/>
                <w:szCs w:val="20"/>
              </w:rPr>
              <w:t xml:space="preserve">Deliverable</w:t>
            </w:r>
          </w:p>
        </w:tc>
      </w:tr>
      <w:tr>
        <w:tc>
          <w:tcPr>
            <w:tcW w:type="dxa" w:w="863"/>
            <w:tcMar>
              <w:top w:type="dxa" w:w="80"/>
              <w:left w:type="dxa" w:w="100"/>
              <w:bottom w:type="dxa" w:w="80"/>
              <w:right w:type="dxa" w:w="100"/>
            </w:tcMar>
          </w:tcPr>
          <w:p>
            <w:r>
              <w:rPr>
                <w:b w:val="false"/>
                <w:bCs w:val="false"/>
                <w:sz w:val="20"/>
                <w:szCs w:val="20"/>
              </w:rPr>
              <w:t xml:space="preserve">1</w:t>
            </w:r>
          </w:p>
        </w:tc>
        <w:tc>
          <w:tcPr>
            <w:tcW w:type="dxa" w:w="9072"/>
            <w:tcMar>
              <w:top w:type="dxa" w:w="80"/>
              <w:left w:type="dxa" w:w="100"/>
              <w:bottom w:type="dxa" w:w="80"/>
              <w:right w:type="dxa" w:w="100"/>
            </w:tcMar>
          </w:tcPr>
          <w:p>
            <w:r>
              <w:rPr>
                <w:b w:val="false"/>
                <w:bCs w:val="false"/>
                <w:sz w:val="20"/>
                <w:szCs w:val="20"/>
              </w:rPr>
              <w:t xml:space="preserve">Close §12 items #1–2 and #5 with the project owner</w:t>
            </w:r>
          </w:p>
        </w:tc>
      </w:tr>
      <w:tr>
        <w:tc>
          <w:tcPr>
            <w:tcW w:type="dxa" w:w="863"/>
            <w:tcMar>
              <w:top w:type="dxa" w:w="80"/>
              <w:left w:type="dxa" w:w="100"/>
              <w:bottom w:type="dxa" w:w="80"/>
              <w:right w:type="dxa" w:w="100"/>
            </w:tcMar>
          </w:tcPr>
          <w:p>
            <w:r>
              <w:rPr>
                <w:b w:val="false"/>
                <w:bCs w:val="false"/>
                <w:sz w:val="20"/>
                <w:szCs w:val="20"/>
              </w:rPr>
              <w:t xml:space="preserve">2</w:t>
            </w:r>
          </w:p>
        </w:tc>
        <w:tc>
          <w:tcPr>
            <w:tcW w:type="dxa" w:w="9072"/>
            <w:tcMar>
              <w:top w:type="dxa" w:w="80"/>
              <w:left w:type="dxa" w:w="100"/>
              <w:bottom w:type="dxa" w:w="80"/>
              <w:right w:type="dxa" w:w="100"/>
            </w:tcMar>
          </w:tcPr>
          <w:p>
            <w:r>
              <w:rPr>
                <w:b w:val="false"/>
                <w:bCs w:val="false"/>
                <w:sz w:val="20"/>
                <w:szCs w:val="20"/>
              </w:rPr>
              <w:t xml:space="preserve">Finalize JSON schema for the five node types + requirement edges + effect-family/tier support table</w:t>
            </w:r>
          </w:p>
        </w:tc>
      </w:tr>
      <w:tr>
        <w:tc>
          <w:tcPr>
            <w:tcW w:type="dxa" w:w="863"/>
            <w:tcMar>
              <w:top w:type="dxa" w:w="80"/>
              <w:left w:type="dxa" w:w="100"/>
              <w:bottom w:type="dxa" w:w="80"/>
              <w:right w:type="dxa" w:w="100"/>
            </w:tcMar>
          </w:tcPr>
          <w:p>
            <w:r>
              <w:rPr>
                <w:b w:val="false"/>
                <w:bCs w:val="false"/>
                <w:sz w:val="20"/>
                <w:szCs w:val="20"/>
              </w:rPr>
              <w:t xml:space="preserve">3</w:t>
            </w:r>
          </w:p>
        </w:tc>
        <w:tc>
          <w:tcPr>
            <w:tcW w:type="dxa" w:w="9072"/>
            <w:tcMar>
              <w:top w:type="dxa" w:w="80"/>
              <w:left w:type="dxa" w:w="100"/>
              <w:bottom w:type="dxa" w:w="80"/>
              <w:right w:type="dxa" w:w="100"/>
            </w:tcMar>
          </w:tcPr>
          <w:p>
            <w:r>
              <w:rPr>
                <w:b w:val="false"/>
                <w:bCs w:val="false"/>
                <w:sz w:val="20"/>
                <w:szCs w:val="20"/>
              </w:rPr>
              <w:t xml:space="preserve">Convert one Advanced Knowledge branch (Warrior / Heavy Weapons+Armor, NeutralGuild zone) into schema-conformant records — first real content, doubles as validation of the schema</w:t>
            </w:r>
          </w:p>
        </w:tc>
      </w:tr>
      <w:tr>
        <w:tc>
          <w:tcPr>
            <w:tcW w:type="dxa" w:w="863"/>
            <w:tcMar>
              <w:top w:type="dxa" w:w="80"/>
              <w:left w:type="dxa" w:w="100"/>
              <w:bottom w:type="dxa" w:w="80"/>
              <w:right w:type="dxa" w:w="100"/>
            </w:tcMar>
          </w:tcPr>
          <w:p>
            <w:r>
              <w:rPr>
                <w:b w:val="false"/>
                <w:bCs w:val="false"/>
                <w:sz w:val="20"/>
                <w:szCs w:val="20"/>
              </w:rPr>
              <w:t xml:space="preserve">4</w:t>
            </w:r>
          </w:p>
        </w:tc>
        <w:tc>
          <w:tcPr>
            <w:tcW w:type="dxa" w:w="9072"/>
            <w:tcMar>
              <w:top w:type="dxa" w:w="80"/>
              <w:left w:type="dxa" w:w="100"/>
              <w:bottom w:type="dxa" w:w="80"/>
              <w:right w:type="dxa" w:w="100"/>
            </w:tcMar>
          </w:tcPr>
          <w:p>
            <w:r>
              <w:rPr>
                <w:b w:val="false"/>
                <w:bCs w:val="false"/>
                <w:sz w:val="20"/>
                <w:szCs w:val="20"/>
              </w:rPr>
              <w:t xml:space="preserve">Build the reverse-trace query (click a node → full requirement closure — this is the core player-facing feature) against that one slice</w:t>
            </w:r>
          </w:p>
        </w:tc>
      </w:tr>
      <w:tr>
        <w:tc>
          <w:tcPr>
            <w:tcW w:type="dxa" w:w="863"/>
            <w:tcMar>
              <w:top w:type="dxa" w:w="80"/>
              <w:left w:type="dxa" w:w="100"/>
              <w:bottom w:type="dxa" w:w="80"/>
              <w:right w:type="dxa" w:w="100"/>
            </w:tcMar>
          </w:tcPr>
          <w:p>
            <w:r>
              <w:rPr>
                <w:b w:val="false"/>
                <w:bCs w:val="false"/>
                <w:sz w:val="20"/>
                <w:szCs w:val="20"/>
              </w:rPr>
              <w:t xml:space="preserve">5</w:t>
            </w:r>
          </w:p>
        </w:tc>
        <w:tc>
          <w:tcPr>
            <w:tcW w:type="dxa" w:w="9072"/>
            <w:tcMar>
              <w:top w:type="dxa" w:w="80"/>
              <w:left w:type="dxa" w:w="100"/>
              <w:bottom w:type="dxa" w:w="80"/>
              <w:right w:type="dxa" w:w="100"/>
            </w:tcMar>
          </w:tcPr>
          <w:p>
            <w:r>
              <w:rPr>
                <w:b w:val="false"/>
                <w:bCs w:val="false"/>
                <w:sz w:val="20"/>
                <w:szCs w:val="20"/>
              </w:rPr>
              <w:t xml:space="preserve">Build the compound-advantages panel (§6.3 stacking) and the cost panel (§8) against the same slice</w:t>
            </w:r>
          </w:p>
        </w:tc>
      </w:tr>
      <w:tr>
        <w:tc>
          <w:tcPr>
            <w:tcW w:type="dxa" w:w="863"/>
            <w:tcMar>
              <w:top w:type="dxa" w:w="80"/>
              <w:left w:type="dxa" w:w="100"/>
              <w:bottom w:type="dxa" w:w="80"/>
              <w:right w:type="dxa" w:w="100"/>
            </w:tcMar>
          </w:tcPr>
          <w:p>
            <w:r>
              <w:rPr>
                <w:b w:val="false"/>
                <w:bCs w:val="false"/>
                <w:sz w:val="20"/>
                <w:szCs w:val="20"/>
              </w:rPr>
              <w:t xml:space="preserve">6</w:t>
            </w:r>
          </w:p>
        </w:tc>
        <w:tc>
          <w:tcPr>
            <w:tcW w:type="dxa" w:w="9072"/>
            <w:tcMar>
              <w:top w:type="dxa" w:w="80"/>
              <w:left w:type="dxa" w:w="100"/>
              <w:bottom w:type="dxa" w:w="80"/>
              <w:right w:type="dxa" w:w="100"/>
            </w:tcMar>
          </w:tcPr>
          <w:p>
            <w:r>
              <w:rPr>
                <w:b w:val="false"/>
                <w:bCs w:val="false"/>
                <w:sz w:val="20"/>
                <w:szCs w:val="20"/>
              </w:rPr>
              <w:t xml:space="preserve">Procedural layout pass (§10) once there's enough real data to lay out meaningfully</w:t>
            </w:r>
          </w:p>
        </w:tc>
      </w:tr>
      <w:tr>
        <w:tc>
          <w:tcPr>
            <w:tcW w:type="dxa" w:w="863"/>
            <w:tcMar>
              <w:top w:type="dxa" w:w="80"/>
              <w:left w:type="dxa" w:w="100"/>
              <w:bottom w:type="dxa" w:w="80"/>
              <w:right w:type="dxa" w:w="100"/>
            </w:tcMar>
          </w:tcPr>
          <w:p>
            <w:r>
              <w:rPr>
                <w:b w:val="false"/>
                <w:bCs w:val="false"/>
                <w:sz w:val="20"/>
                <w:szCs w:val="20"/>
              </w:rPr>
              <w:t xml:space="preserve">7</w:t>
            </w:r>
          </w:p>
        </w:tc>
        <w:tc>
          <w:tcPr>
            <w:tcW w:type="dxa" w:w="9072"/>
            <w:tcMar>
              <w:top w:type="dxa" w:w="80"/>
              <w:left w:type="dxa" w:w="100"/>
              <w:bottom w:type="dxa" w:w="80"/>
              <w:right w:type="dxa" w:w="100"/>
            </w:tcMar>
          </w:tcPr>
          <w:p>
            <w:r>
              <w:rPr>
                <w:b w:val="false"/>
                <w:bCs w:val="false"/>
                <w:sz w:val="20"/>
                <w:szCs w:val="20"/>
              </w:rPr>
              <w:t xml:space="preserve">Author-mode (backward traversal, §6.5) as a second UI over the same dataset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2026-08-29T09:25:55.014Z</dcterms:created>
  <dcterms:modified xsi:type="dcterms:W3CDTF">2026-08-29T09:25:55.014Z</dcterms:modified>
</cp:coreProperties>
</file>

<file path=docProps/custom.xml><?xml version="1.0" encoding="utf-8"?>
<Properties xmlns="http://schemas.openxmlformats.org/officeDocument/2006/custom-properties" xmlns:vt="http://schemas.openxmlformats.org/officeDocument/2006/docPropsVTypes"/>
</file>