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11" name="image10.png"/>
            <a:graphic>
              <a:graphicData uri="http://schemas.openxmlformats.org/drawingml/2006/picture">
                <pic:pic>
                  <pic:nvPicPr>
                    <pic:cNvPr descr="Global Rain logo" id="0" name="image10.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[Your Name]</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2" name="image6.png"/>
            <a:graphic>
              <a:graphicData uri="http://schemas.openxmlformats.org/drawingml/2006/picture">
                <pic:pic>
                  <pic:nvPicPr>
                    <pic:cNvPr descr="Artemis Financial logo" id="0" name="image6.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Seth Richey</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Algorithm Cipher</w:t>
      </w:r>
    </w:p>
    <w:p w:rsidR="00000000" w:rsidDel="00000000" w:rsidP="00000000" w:rsidRDefault="00000000" w:rsidRPr="00000000" w14:paraId="0000003C">
      <w:pPr>
        <w:rPr>
          <w:sz w:val="22"/>
          <w:szCs w:val="22"/>
        </w:rPr>
      </w:pPr>
      <w:r w:rsidDel="00000000" w:rsidR="00000000" w:rsidRPr="00000000">
        <w:rPr>
          <w:sz w:val="22"/>
          <w:szCs w:val="22"/>
          <w:rtl w:val="0"/>
        </w:rPr>
        <w:t xml:space="preserve">To ensure secure communication and data integrity, I implemented the AES (Advanced Encryption Standard) algorithm for encryption and SHA-256 for checksum verification.</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sz w:val="22"/>
          <w:szCs w:val="22"/>
          <w:rtl w:val="0"/>
        </w:rPr>
        <w:t xml:space="preserve">AES is a symmetric encryption algorithm that provides high security and fast performance, making it ideal for securing financial data.</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tl w:val="0"/>
        </w:rPr>
        <w:t xml:space="preserve">SHA-256 is a cryptographic hash function that generates a unique, fixed-size 256-bit hash, ensuring data integrity during transmission.</w:t>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sz w:val="22"/>
          <w:szCs w:val="22"/>
          <w:rtl w:val="0"/>
        </w:rPr>
        <w:t xml:space="preserve">Random numbers are used for key generation to enhance security.</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tl w:val="0"/>
        </w:rPr>
        <w:t xml:space="preserve">Symmetric keys (AES) are used for fast encryption, whereas asymmetric keys (RSA) are utilized in certificate generation.</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Modern encryption algorithms have evolved from DES to AES due to increased security requirements and computational advancements.</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pStyle w:val="Heading2"/>
        <w:numPr>
          <w:ilvl w:val="0"/>
          <w:numId w:val="2"/>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9">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3800475" cy="48387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00475" cy="4838700"/>
                    </a:xfrm>
                    <a:prstGeom prst="rect"/>
                    <a:ln/>
                  </pic:spPr>
                </pic:pic>
              </a:graphicData>
            </a:graphic>
          </wp:inline>
        </w:drawing>
      </w:r>
      <w:r w:rsidDel="00000000" w:rsidR="00000000" w:rsidRPr="00000000">
        <w:rPr>
          <w:sz w:val="22"/>
          <w:szCs w:val="22"/>
        </w:rPr>
        <w:drawing>
          <wp:inline distB="114300" distT="114300" distL="114300" distR="114300">
            <wp:extent cx="5943600" cy="3708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pStyle w:val="Heading2"/>
        <w:numPr>
          <w:ilvl w:val="0"/>
          <w:numId w:val="2"/>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E">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8890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numPr>
          <w:ilvl w:val="0"/>
          <w:numId w:val="2"/>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53">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Pr>
        <w:drawing>
          <wp:inline distB="114300" distT="114300" distL="114300" distR="114300">
            <wp:extent cx="5676900" cy="292417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76900" cy="2924175"/>
                    </a:xfrm>
                    <a:prstGeom prst="rect"/>
                    <a:ln/>
                  </pic:spPr>
                </pic:pic>
              </a:graphicData>
            </a:graphic>
          </wp:inline>
        </w:drawing>
      </w:r>
      <w:r w:rsidDel="00000000" w:rsidR="00000000" w:rsidRPr="00000000">
        <w:rPr>
          <w:sz w:val="22"/>
          <w:szCs w:val="22"/>
        </w:rPr>
        <w:drawing>
          <wp:inline distB="114300" distT="114300" distL="114300" distR="114300">
            <wp:extent cx="5943600" cy="36703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pStyle w:val="Heading2"/>
        <w:numPr>
          <w:ilvl w:val="0"/>
          <w:numId w:val="2"/>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58">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Pr>
        <w:drawing>
          <wp:inline distB="114300" distT="114300" distL="114300" distR="114300">
            <wp:extent cx="5943600" cy="7747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774700"/>
                    </a:xfrm>
                    <a:prstGeom prst="rect"/>
                    <a:ln/>
                  </pic:spPr>
                </pic:pic>
              </a:graphicData>
            </a:graphic>
          </wp:inline>
        </w:drawing>
      </w:r>
      <w:r w:rsidDel="00000000" w:rsidR="00000000" w:rsidRPr="00000000">
        <w:rPr>
          <w:sz w:val="22"/>
          <w:szCs w:val="22"/>
        </w:rPr>
        <w:drawing>
          <wp:inline distB="114300" distT="114300" distL="114300" distR="114300">
            <wp:extent cx="5943600" cy="33782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numPr>
          <w:ilvl w:val="0"/>
          <w:numId w:val="2"/>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C">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Pr>
        <w:drawing>
          <wp:inline distB="114300" distT="114300" distL="114300" distR="114300">
            <wp:extent cx="5943600" cy="8636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pStyle w:val="Heading2"/>
        <w:numPr>
          <w:ilvl w:val="0"/>
          <w:numId w:val="2"/>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tl w:val="0"/>
        </w:rPr>
        <w:t xml:space="preserve">The code was refactored to enhance security by implementing AES encryption, SHA-256 checksum verification, and HTTPS secure communication. The Java Keytool was used to generate a self-signed certificate, ensuring encrypted communication. The dependency-check tool verified that no new vulnerabilities were introduced, confirming compliance with secure coding practices.</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pStyle w:val="Heading2"/>
        <w:numPr>
          <w:ilvl w:val="0"/>
          <w:numId w:val="2"/>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sz w:val="22"/>
          <w:szCs w:val="22"/>
          <w:rtl w:val="0"/>
        </w:rPr>
        <w:t xml:space="preserve">To maintain a high level of security, industry standard best practices were followed:</w:t>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22"/>
          <w:szCs w:val="22"/>
          <w:rtl w:val="0"/>
        </w:rPr>
        <w:t xml:space="preserve">Secure Encryption: AES encryption was applied to protect financial data.</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tl w:val="0"/>
        </w:rPr>
        <w:t xml:space="preserve">Data Integrity: SHA-256 checksum verification ensures data is not altered during transmission.</w:t>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sz w:val="22"/>
          <w:szCs w:val="22"/>
          <w:rtl w:val="0"/>
        </w:rPr>
        <w:t xml:space="preserve">Secure Communication: HTTPS was enabled using a self-signed SSL certificate.</w:t>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sz w:val="22"/>
          <w:szCs w:val="22"/>
          <w:rtl w:val="0"/>
        </w:rPr>
        <w:t xml:space="preserve">Static Testing: Dependency-check was used to identify and mitigate security vulnerabilities.</w:t>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sz w:val="22"/>
          <w:szCs w:val="22"/>
          <w:rtl w:val="0"/>
        </w:rPr>
        <w:t xml:space="preserve">Code Review: Functional testing was conducted to ensure correctness and security.</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sz w:val="22"/>
          <w:szCs w:val="22"/>
          <w:rtl w:val="0"/>
        </w:rPr>
        <w:t xml:space="preserve">Applying these best practices strengthens Artemis Financial’s security posture, protecting sensitive client data and maintaining regulatory compliance.</w:t>
      </w:r>
    </w:p>
    <w:sectPr>
      <w:headerReference r:id="rId17" w:type="default"/>
      <w:footerReference r:id="rId18" w:type="defaul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yxagB07a/VhziQ15i33/gQWdNQ==">CgMxLjAyCGguZ2pkZ3hzMgloLjMwajB6bGwyCWguMWZvYjl0ZTIJaC4zem55c2g3MgloLjJldDkycDAyCGgudHlqY3d0MgloLjNkeTZ2a20yCWguMXQzaDVzZjIJaC40ZDM0b2c4MgloLjJzOGV5bzEyCWguMTdkcDh2dTIJaC4zcmRjcmpuMgloLjI2aW4xcmc4AHIhMTZCaHloZDNzU0RKRFN0S2NaWHNZRFlVekNLY0dpc05C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