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course, one consistent theme has been that security must be integrated into the software development lifecycle rather than treated as a final checkpoint. Adopting a secure coding standard formalizes this mindset. Standards such as enforcing input validation, proper memory management, strong authentication practices, and secure error handling provide concrete rules that guide development from the beginning. When security is not left until the end, vulnerabilities such as buffer overflows, injection flaws, and improper access control can be prevented during design and implementation rather than discovered during testing or after deployment. This approach reduces remediation cost and aligns with the principle of building security in rather than bolting it on.</w:t>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evaluation and cost–benefit analysis are also critical components of secure development. Not all vulnerabilities present equal risk, and organizations must prioritize mitigation efforts based on likelihood and impact. Risk assessment frameworks consider factors such as threat actors, attack surface, business impact, and exploit complexity. A high-severity flaw affecting authentication in a cloud application warrants immediate remediation, while a low-impact information disclosure issue may be scheduled for a later release. Cost–benefit analysis ensures that mitigation strategies are practical and proportionate. For example, implementing multi-factor authentication may involve operational cost and user friction, but if the risk of credential compromise is high, the security benefit justifies the investment.</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zero trust model reinforces many of these principles. Zero trust assumes that no user, device, or system should be inherently trusted, even if it resides inside the network perimeter. Instead, every access request must be authenticated, authorized, and continuously validated. This model supports least privilege, default deny configurations, and strong identity management. In modern cloud and IoT environments where traditional network boundaries are blurred, zero trust reduces the risk of lateral movement and limits the damage caused by compromised credentials or insider threats.</w:t>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implementation of security policies provides organizational structure and accountability. Policies define acceptable use, access control requirements, encryption standards, incident response procedures, and secure coding expectations. Effective policies must be clear, enforceable, and aligned with business objectives. They should also be supported by technical controls such as logging, monitoring, automated testing, and regular audits. Recommendations for effective policy implementation include integrating policy checks into CI/CD pipelines, conducting regular security training for developers, and establishing measurable compliance metrics.</w:t>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secure coding standards, risk-based mitigation strategies, zero trust architecture, and well-defined security policies work together as a layered defense. When combined, they create a proactive security posture that addresses vulnerabilities early, prioritizes resources effectively, and strengthens resilience in modern IT systems.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