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Estratégia do plano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 do cronograma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Fases detalhadas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Fase 0 — Fundação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Fase 1 — Espinha dorsal nacional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Fase 2 — Motor de detecção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Fase 3 — Camada estadual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Fase 4 — Cauda longa municipal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Fase 5 — Publicação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Fase 6 — Consolidação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4. Marcos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Esforço estimado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Custos recorrentes estimados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Decisões que precisam ser tomadas antes de começar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Critérios de replanejamento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9. Situação em 20 de outubro de 2026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9.1 Fase 0 — Fundação: concluída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9.2 Fase 1 — Espinha dorsal nacional: núcleo pronto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9.3 Fase 3 — Camada estadual: iniciada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9.4 Trilha paralela: aba Eleições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9.5 Efeito no cronograma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9.6 Hospedagem sem custo (ADR-026)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Estratégia do plano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 do cronograma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Fases detalhadas</w:t>
      </w:r>
      <w:bookmarkEnd w:id="4"/>
    </w:p>
    <w:p>
      <w:pPr>
        <w:pStyle w:val="Heading2"/>
        <w:keepNext/>
        <w:keepLines/>
        <w:spacing w:after="120" w:before="280"/>
      </w:pPr>
      <w:bookmarkStart w:name="_Toc5" w:id="5"/>
      <w:r>
        <w:t xml:space="preserve">Fase 0 — Fundação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6" w:id="6"/>
      <w:r>
        <w:t xml:space="preserve">Entregáveis</w:t>
      </w:r>
      <w:bookmarkEnd w:id="6"/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Fase 1 — Espinha dorsal nacional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8" w:id="8"/>
      <w:r>
        <w:t xml:space="preserve">Entregáveis</w:t>
      </w:r>
      <w:bookmarkEnd w:id="8"/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Fase 2 — Motor de detecção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0" w:id="10"/>
      <w:r>
        <w:t xml:space="preserve">Entregáveis</w:t>
      </w:r>
      <w:bookmarkEnd w:id="10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Fase 3 — Camada estadual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2" w:id="12"/>
      <w:r>
        <w:t xml:space="preserve">Entregáveis</w:t>
      </w:r>
      <w:bookmarkEnd w:id="12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Fase 4 — Cauda longa municipal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4" w:id="14"/>
      <w:r>
        <w:t xml:space="preserve">Entregáveis</w:t>
      </w:r>
      <w:bookmarkEnd w:id="14"/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Fase 5 — Publicação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6" w:id="16"/>
      <w:r>
        <w:t xml:space="preserve">Entregáveis</w:t>
      </w:r>
      <w:bookmarkEnd w:id="16"/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Fase 6 — Consolidação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8" w:id="18"/>
      <w:r>
        <w:t xml:space="preserve">Entregáveis</w:t>
      </w:r>
      <w:bookmarkEnd w:id="18"/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4. Marcos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Esforço estimado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Custos recorrentes estimados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7. Decisões que precisam ser tomadas antes de começar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Decidido em 21/10/2026: o nome fica Lumen (ADR-043). O domínio próprio continua pendente, como decisão de custo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8. Critérios de replanejamento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4" w:id="24"/>
      <w:r>
        <w:t xml:space="preserve">9. Situação em 20 de outubro de 2026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9.1 Fase 0 — Fundação: concluída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6" w:id="26"/>
      <w:r>
        <w:t xml:space="preserve">9.2 Fase 1 — Espinha dorsal nacional: núcleo pronto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e normalização prontos (LinhaDemonstrativo), e a RCL, a despesa por função e a despesa com pessoal de todos os entes coletadas para os grupos de pares (ADR-038, ADR-041 e ADR-042)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emendas parlamentares e convênios pelos arquivos de dados abertos, sem chave (ADR-044 e ADR-045); transferências e despesas pendentes, pelo mesmo caminho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para os fornecedores dos contratos (ADR-043): cadastro, Simples e quadro societário, semanal, no fornecedor de Contratações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(ADR-038): municípios por porte e região, com recuo para o porte no país abaixo de 15 entes; estados e DF num grupo; versão 2 com a receita corrente líquida por habitante (todo grupo com 30 entes com RCL publicada se divide na mediana). Comparação publicada na conformidade de cada 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(ADR-039): página pública "Situação das coletas" com as execuções dos fluxos, o volume diário do PNCP contra o usual (alarme de queda, sem falso positivo em 172 dias úteis de 2026) e a coleta da conformidade e a cobertura por ente e UF (ADR-048); limiares iniciais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dos portais de transparência (ADR-028)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pelo PNTP (ADR-032): 11.697 entidades com endereço do portal e nível de transparência; leitura dos portais 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J-01: contratação de sancionado (antecipada da Fase 2)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Publicada como aviso no portal desde 21/10/2026 (ADR-047), a cada carga do painel, com ressalva e contestação; calibração 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andamento. O relatório de cobertura por ente e UF está publicado na "Situação das coletas" (ADR-048), e a carga das contratações e da conformidade desde 2021 está em curso no GitHub Actions (ADR-046)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7" w:id="27"/>
      <w:r>
        <w:t xml:space="preserve">9.3 Fase 3 — Camada estadual: iniciada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Levantamento das fontes estaduais e dos tribunais de contas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para os 32 tribunais que fiscalizam municípios (ADR-050): sete com licitações ou contratos em lote, sem chave; cinco atrás de captcha ou token, com pedido formal a fazer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Conectores dos tribunais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TCE-RS (contratos de 2016 em diante) e TCE-PR (de 2013 em diante) em uso, no mandato aberto de Governos municipais e na página da empresa. Na fila: TCE-SP, TCE-PE e TCE-CE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Motor de conectores declarativos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9.4 Trilha paralela: aba Eleições</w:t>
      </w:r>
      <w:bookmarkEnd w:id="2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produção desde 14/10/2026: feeds no Supabase Storage, carga diária e retomável no GitHub Actions, portal na Vercel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o nome está decidido (Lumen, ADR-043); falta registrar o domínio, que tem custo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com o 1º turno (16 e 17/10/2026), que achou a parada sem a marca de finalizada do TSE, já corrigida. O 2º turno está agendado no eleicoes-ao-vivo (adendo do ADR-026)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9" w:id="29"/>
      <w:r>
        <w:t xml:space="preserve">9.5 Efeito no cronograma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domínio: o nome ficou Lumen (ADR-043), e falta registrá-lo.</w:t>
      </w: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9.6 Hospedagem sem custo (ADR-026)</w:t>
      </w:r>
      <w:bookmarkEnd w:id="3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2026-10-21T14:04:23.792Z</dcterms:created>
  <dcterms:modified xsi:type="dcterms:W3CDTF">2026-10-21T14:04:23.792Z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