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Fase 3 — Camada estadual: iniciada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Trilha paralela: aba Eleições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Efeito no cronograma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9.6 Hospedagem sem custo (ADR-026)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21/10/2026: o nome fica Lumen (ADR-043). O domínio próprio continua pendente, como decisão de custo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RCL, a despesa por função e a despesa com pessoal de todos os entes coletadas para os grupos de pares (ADR-038, ADR-041 e ADR-042)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emendas parlamentares e convênios pelos arquivos de dados abertos, sem chave (ADR-044 e ADR-045); transferências e despesas pendentes, pelo mesmo caminho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para os fornecedores dos contratos (ADR-043): cadastro, Simples e quadro societário, semanal, no fornecedor de Contratações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 e a cobertura por ente e UF (ADR-048);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Publicada como aviso no portal desde 21/10/2026 (ADR-047), a cada carga do painel, com ressalva e contestação; calibração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andamento. O relatório de cobertura por ente e UF está publicado na "Situação das coletas" (ADR-048), e a carga das contratações e da conformidade desde 2021 está em curso no GitHub Actions (ADR-046)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Fase 3 — Camada estadual: iniciada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Levantamento das fontes estaduais e dos tribunais de contas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para os 32 tribunais que fiscalizam municípios (ADR-050): sete com licitações ou contratos em lote, sem chave; cinco atrás de captcha ou token, com pedido formal a fazer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Conectores dos tribunais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TCE-RS em uso: contratos de 2016 em diante, no mandato aberto de Governos municipais e na página da empresa. Na fila: TCE-SP, TCE-PR, TCE-PE e TCE-CE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Motor de conectores declarativos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Trilha paralela: aba Eleições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o nome está decidido (Lumen, ADR-043); falta registrar o domínio, que tem custo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9" w:id="29"/>
      <w:r>
        <w:t xml:space="preserve">9.5 Efeito no cronograma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domínio: o nome ficou Lumen (ADR-043), e falta registrá-lo.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9.6 Hospedagem sem custo (ADR-026)</w:t>
      </w:r>
      <w:bookmarkEnd w:id="3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2026-10-21T13:53:24.174Z</dcterms:created>
  <dcterms:modified xsi:type="dcterms:W3CDTF">2026-10-21T13:53:24.175Z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