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900"/>
      </w:pPr>
      <w:r>
        <w:rPr>
          <w:b/>
          <w:bCs/>
          <w:color w:val="000000"/>
          <w:spacing w:val="60"/>
          <w:sz w:val="26"/>
          <w:szCs w:val="26"/>
        </w:rPr>
        <w:t xml:space="preserve">PROJETO LUMEN</w:t>
      </w:r>
    </w:p>
    <w:p>
      <w:pPr>
        <w:spacing w:after="400"/>
      </w:pPr>
      <w:r>
        <w:rPr>
          <w:color w:val="000000"/>
          <w:sz w:val="20"/>
          <w:szCs w:val="20"/>
        </w:rPr>
        <w:t xml:space="preserve">Monitoramento de contratações e despesas públicas do Brasil</w:t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DOC-05</w:t>
      </w:r>
    </w:p>
    <w:p>
      <w:pPr>
        <w:spacing w:after="140"/>
      </w:pPr>
      <w:r>
        <w:rPr>
          <w:b/>
          <w:bCs/>
          <w:color w:val="000000"/>
          <w:sz w:val="48"/>
          <w:szCs w:val="48"/>
        </w:rPr>
        <w:t xml:space="preserve">Modelo de Dados</w:t>
      </w:r>
    </w:p>
    <w:p>
      <w:pPr>
        <w:pBdr>
          <w:bottom w:val="single" w:color="000000" w:sz="8" w:space="14"/>
        </w:pBdr>
        <w:spacing w:after="700"/>
      </w:pPr>
      <w:r>
        <w:rPr>
          <w:i/>
          <w:iCs/>
          <w:color w:val="000000"/>
          <w:sz w:val="24"/>
          <w:szCs w:val="24"/>
        </w:rPr>
        <w:t xml:space="preserve">Esquema canônico, dicionário de dados e resolução de identidade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7200"/>
      </w:tblGrid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Projeto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Lumen (nome de trabalho, sujeito a verificação de disponibilidade)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Gaspare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Versão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1.3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 de outubro de 2026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Situação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Atualizado com o bloco de fatos implementado na Fase 1 (ADR-016, ADR-017) e as sanções da CGU (ADR-030)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Este documento integra o pacote de documentação do Projeto Lumen. Valores legais, limites e endpoints citados foram verificados em fontes oficiais em outubro de 2026 e devem ser reconferidos antes da implementação, pois são atualizados periodicamente por decreto.</w:t>
      </w:r>
    </w:p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1" w:id="1"/>
      <w:r>
        <w:t xml:space="preserve">Sumário</w:t>
      </w:r>
      <w:bookmarkEnd w:id="1"/>
    </w:p>
    <w:p>
      <w:pPr>
        <w:spacing w:after="12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Para preencher o sumário, selecione todo o documento (Ctrl+A) e atualize os campos (F9). No Word, também é possível clicar com o botão direito sobre o sumário e escolher Atualizar campo.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1. Princípios do modelo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2. Diagrama entidade-relacionamento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2.1 Os três blocos do modelo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3. Dicionário de dados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3.1 Bloco de fato administrativo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7">
            <w:r>
              <w:t xml:space="preserve">Ente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8">
            <w:r>
              <w:t xml:space="preserve">ProcessoContratacao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9">
            <w:r>
              <w:t xml:space="preserve">AtoAutorizativo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0">
            <w:r>
              <w:t xml:space="preserve">AgentePublico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1">
            <w:r>
              <w:t xml:space="preserve">Contrato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2">
            <w:r>
              <w:t xml:space="preserve">ItemContratado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3">
            <w:r>
              <w:t xml:space="preserve">Empenho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3.2 Bloco de contexto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5">
            <w:r>
              <w:t xml:space="preserve">Fornecedor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6">
            <w:r>
              <w:t xml:space="preserve">Sancao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7">
            <w:r>
              <w:t xml:space="preserve">GrupoPares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8">
            <w:r>
              <w:t xml:space="preserve">3.3 Bloco de análise e prova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19">
            <w:r>
              <w:t xml:space="preserve">DocumentoFonte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20">
            <w:r>
              <w:t xml:space="preserve">RegraDeteccao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21">
            <w:r>
              <w:t xml:space="preserve">Indicio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22">
            <w:r>
              <w:t xml:space="preserve">Evidencia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23">
            <w:r>
              <w:t xml:space="preserve">Contestacao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24">
            <w:r>
              <w:t xml:space="preserve">Conformidade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5">
            <w:r>
              <w:t xml:space="preserve">4. Ciclo de vida do indício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6">
            <w:r>
              <w:t xml:space="preserve">5. Identidade e resolução de entidades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7">
            <w:r>
              <w:t xml:space="preserve">6. Qualidade de dados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8">
            <w:r>
              <w:t xml:space="preserve">7. Particionamento e retenção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9">
            <w:r>
              <w:t xml:space="preserve">8. Implementação da Fase 1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0">
            <w:r>
              <w:t xml:space="preserve">8.1 Do modelo conceitual às entidades implementadas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1">
            <w:r>
              <w:t xml:space="preserve">8.2 Identidade determinística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2">
            <w:r>
              <w:t xml:space="preserve">8.3 Divergências registradas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3">
            <w:r>
              <w:t xml:space="preserve">8.4 Quarentena e marcações de qualidade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4">
            <w:r>
              <w:t xml:space="preserve">8.5 Armazenamento da silver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5">
            <w:r>
              <w:t xml:space="preserve">8.6 Banco de domínio (migração 0001)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2" w:id="2"/>
      <w:r>
        <w:t xml:space="preserve">1. Princípios do modelo</w:t>
      </w:r>
      <w:bookmarkEnd w:id="2"/>
    </w:p>
    <w:p>
      <w:pPr>
        <w:pStyle w:val="ListParagraph"/>
        <w:numPr>
          <w:ilvl w:val="0"/>
          <w:numId w:val="2"/>
        </w:numPr>
        <w:spacing w:after="70"/>
      </w:pPr>
      <w:r>
        <w:t xml:space="preserve">Existe um único esquema canônico. Toda fonte converge para ele, e nenhuma particularidade de fonte vaza para o modelo.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Todo registro carrega proveniência. É sempre possível responder de qual artefato bruto aquele dado veio e quando foi coletado.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modelo separa o fato administrativo da interpretação. Contrato, empenho e ato autorizativo são fatos publicados. Indício é interpretação do sistema, e vive em entidades próprias.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Campos ausentes são explicitamente nulos e nunca preenchidos por inferência. Ausência é informação e alimenta o índice de conformidade.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Todo campo possui classificação de sensibilidade, que governa exibição, exportação e retenção.</w:t>
      </w:r>
    </w:p>
    <w:p>
      <w:pPr>
        <w:pStyle w:val="Heading1"/>
        <w:keepNext/>
        <w:keepLines/>
        <w:spacing w:after="160" w:before="380"/>
      </w:pPr>
      <w:bookmarkStart w:name="_Toc3" w:id="3"/>
      <w:r>
        <w:t xml:space="preserve">2. Diagrama entidade-relacionamento</w:t>
      </w:r>
      <w:bookmarkEnd w:id="3"/>
    </w:p>
    <w:p>
      <w:pPr>
        <w:spacing w:after="70" w:before="140" w:line="240" w:lineRule="auto"/>
        <w:jc w:val="center"/>
      </w:pPr>
      <w:r>
        <w:drawing>
          <wp:inline distT="0" distB="0" distL="0" distR="0">
            <wp:extent cx="5715000" cy="601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000000"/>
          <w:sz w:val="17"/>
          <w:szCs w:val="17"/>
        </w:rPr>
        <w:t xml:space="preserve">Figura 1. Modelo canônico: entidades de fato administrativo, entidades de análise e cadeia de evidência.</w:t>
      </w:r>
    </w:p>
    <w:p>
      <w:pPr>
        <w:pStyle w:val="Heading2"/>
        <w:keepNext/>
        <w:keepLines/>
        <w:spacing w:after="120" w:before="280"/>
      </w:pPr>
      <w:bookmarkStart w:name="_Toc4" w:id="4"/>
      <w:r>
        <w:t xml:space="preserve">2.1 Os três blocos do modelo</w:t>
      </w:r>
      <w:bookmarkEnd w:id="4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4300"/>
        <w:gridCol w:w="34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Bloco</w:t>
            </w:r>
          </w:p>
        </w:tc>
        <w:tc>
          <w:tcPr>
            <w:tcW w:type="dxa" w:w="4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Entidades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Natureza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Fato administrativo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Ente, UnidadeGestora, ProcessoContratacao, Contrato, Aditivo, ItemContratado, Empenho, Liquidacao, Pagamento, AtoAutorizativo, AmparoLegal, AgentePublico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Reflete o que o ente publicou; o Lumen não altera nem interpreta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Contexto</w:t>
            </w:r>
          </w:p>
        </w:tc>
        <w:tc>
          <w:tcPr>
            <w:tcW w:type="dxa" w:w="4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Fornecedor, Socio, Sancao, CatalogoItem, GrupoPares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Enriquecimento a partir de outras bases públicas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Análise e prova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Indicio, RegraDeteccao, Evidencia, DocumentoFonte, Contestacao, Conformidade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Produzido pelo Lumen; sempre rastreável até o fato</w:t>
            </w:r>
          </w:p>
        </w:tc>
      </w:tr>
    </w:tbl>
    <w:tbl>
      <w:tblPr>
        <w:tblW w:type="dxa" w:w="9600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 w:color="FFFFFF" w:sz="0"/>
          <w:insideV w:val="none" w:color="FFFFFF" w:sz="0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DCE6F1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90"/>
            </w:pPr>
            <w:r>
              <w:rPr>
                <w:b/>
                <w:bCs/>
                <w:color w:val="000000"/>
              </w:rPr>
              <w:t xml:space="preserve">A entidade que atende ao requisito de quem autorizou e por quê</w:t>
            </w:r>
          </w:p>
          <w:p>
            <w:pPr>
              <w:spacing w:after="70"/>
            </w:pPr>
            <w:r>
              <w:t xml:space="preserve">AtoAutorizativo é a entidade que liga um processo de contratação a um AgentePublico identificado e a um AmparoLegal. O campo justificativa_publicada recebe, sem edição, o texto de justificativa divulgado pelo próprio ente. O sistema nunca redige, resume ou interpreta esse texto: apenas o preserva e o exibe ao lado do dispositivo legal invocado.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5" w:id="5"/>
      <w:r>
        <w:t xml:space="preserve">3. Dicionário de dados</w:t>
      </w:r>
      <w:bookmarkEnd w:id="5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Notação de sensibilidade usada na coluna de descrição: P indica dado público de ato administrativo; PA indica dado de agente público no exercício da função; S indica dado sensível sujeito a mascaramento.</w:t>
      </w:r>
    </w:p>
    <w:p>
      <w:pPr>
        <w:pStyle w:val="Heading2"/>
        <w:keepNext/>
        <w:keepLines/>
        <w:spacing w:after="120" w:before="280"/>
      </w:pPr>
      <w:bookmarkStart w:name="_Toc6" w:id="6"/>
      <w:r>
        <w:t xml:space="preserve">3.1 Bloco de fato administrativo</w:t>
      </w:r>
      <w:bookmarkEnd w:id="6"/>
    </w:p>
    <w:p>
      <w:pPr>
        <w:pStyle w:val="Heading3"/>
        <w:keepNext/>
        <w:keepLines/>
        <w:spacing w:after="100" w:before="220"/>
      </w:pPr>
      <w:bookmarkStart w:name="_Toc7" w:id="7"/>
      <w:r>
        <w:t xml:space="preserve">Ente</w:t>
      </w:r>
      <w:bookmarkEnd w:id="7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Unidade da federação ou órgão público analisado. Chave natural é o código IBGE para municípios e o CNPJ para os demais.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100"/>
        <w:gridCol w:w="1300"/>
        <w:gridCol w:w="900"/>
        <w:gridCol w:w="53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 e origem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Identificador interno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cnpj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CHAR(14)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CNPJ do ente quando publicado (P)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codigo_ibge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CHAR(7)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Código IBGE para municípios e estados (P)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 oficial do ente (P)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esfera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uniao, estadual, municipal, distrital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poder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executivo, legislativo, judiciario, autonomo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uf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CHAR(2)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Unidade federativa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populacao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População estimada, base IBGE, usada no grupo de pares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porte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Faixa populacional derivada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receita_corrente_liquida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NUMERIC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Origem SICONFI; usada no grupo de pares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grupo_pares_id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Grupo de comparação calculado</w:t>
            </w:r>
          </w:p>
        </w:tc>
      </w:tr>
    </w:tbl>
    <w:p>
      <w:pPr>
        <w:spacing w:after="140"/>
      </w:pPr>
    </w:p>
    <w:p>
      <w:pPr>
        <w:pStyle w:val="Heading3"/>
        <w:keepNext/>
        <w:keepLines/>
        <w:spacing w:after="100" w:before="220"/>
      </w:pPr>
      <w:bookmarkStart w:name="_Toc8" w:id="8"/>
      <w:r>
        <w:t xml:space="preserve">ProcessoContratacao</w:t>
      </w:r>
      <w:bookmarkEnd w:id="8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Processo que antecede o contrato: licitação, dispensa ou inexigibilidade. Principal origem é o PNCP.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100"/>
        <w:gridCol w:w="1300"/>
        <w:gridCol w:w="900"/>
        <w:gridCol w:w="53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 e origem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Identificador interno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ente_id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 responsável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unidade_gestora_id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Unidade que conduziu o processo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numero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Número do processo na origem (P)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ano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SMALLINT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Exercício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modalidade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pregao, concorrencia, dispensa, inexigibilidade, concurso, leilao, dialogo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amparo_legal_id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Dispositivo invocado; campo estruturado no PNCP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objeto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Descrição do objeto conforme publicada (P)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valor_estimado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NUMERIC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 estimado publicado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data_publicacao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de publicação na origem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data_abertura_propostas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Usada para verificar prazos legais mínimos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quantidade_participantes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Número de propostas; insumo de regras de concorrência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documento_fonte_id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Artefato bruto que originou o registro</w:t>
            </w:r>
          </w:p>
        </w:tc>
      </w:tr>
    </w:tbl>
    <w:p>
      <w:pPr>
        <w:spacing w:after="140"/>
      </w:pPr>
    </w:p>
    <w:p>
      <w:pPr>
        <w:pStyle w:val="Heading3"/>
        <w:keepNext/>
        <w:keepLines/>
        <w:spacing w:after="100" w:before="220"/>
      </w:pPr>
      <w:bookmarkStart w:name="_Toc9" w:id="9"/>
      <w:r>
        <w:t xml:space="preserve">AtoAutorizativo</w:t>
      </w:r>
      <w:bookmarkEnd w:id="9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Ato pelo qual um agente público autoriza a contratação ou a despesa. Atende diretamente ao requisito de registrar quem autorizou e com que fundamento.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100"/>
        <w:gridCol w:w="1300"/>
        <w:gridCol w:w="900"/>
        <w:gridCol w:w="53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 e origem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Identificador interno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processo_id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Processo de contratação vinculado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contrato_id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Contrato vinculado, quando o ato é posterior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tipo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autorizacao, homologacao, ratificacao, adjudicacao, ordenacao_despesa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agente_id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Agente público signatário (PA)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do ato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amparo_legal_id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Dispositivo legal invocado no ato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justificativa_publicada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Texto de justificativa exatamente como publicado, sem edição (P)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documento_fonte_id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Artefato bruto que originou o registro</w:t>
            </w:r>
          </w:p>
        </w:tc>
      </w:tr>
    </w:tbl>
    <w:p>
      <w:pPr>
        <w:spacing w:after="140"/>
      </w:pPr>
    </w:p>
    <w:p>
      <w:pPr>
        <w:pStyle w:val="Heading3"/>
        <w:keepNext/>
        <w:keepLines/>
        <w:spacing w:after="100" w:before="220"/>
      </w:pPr>
      <w:bookmarkStart w:name="_Toc10" w:id="10"/>
      <w:r>
        <w:t xml:space="preserve">AgentePublico</w:t>
      </w:r>
      <w:bookmarkEnd w:id="10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Agente que assinou atos administrativos. Registra-se apenas o que é publicado no exercício da função. Não há construção de perfil comportamental.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100"/>
        <w:gridCol w:w="1300"/>
        <w:gridCol w:w="900"/>
        <w:gridCol w:w="53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 e origem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Identificador interno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 conforme publicado no ato (PA)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cargo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Cargo ou função declarada no ato (PA)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ente_id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 ao qual o ato se vincula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documento_mascarado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CPF mascarado quando publicado pela fonte (S)</w:t>
            </w:r>
          </w:p>
        </w:tc>
      </w:tr>
    </w:tbl>
    <w:p>
      <w:pPr>
        <w:spacing w:after="140"/>
      </w:pPr>
    </w:p>
    <w:p>
      <w:pPr>
        <w:pStyle w:val="Heading3"/>
        <w:keepNext/>
        <w:keepLines/>
        <w:spacing w:after="100" w:before="220"/>
      </w:pPr>
      <w:bookmarkStart w:name="_Toc11" w:id="11"/>
      <w:r>
        <w:t xml:space="preserve">Contrato</w:t>
      </w:r>
      <w:bookmarkEnd w:id="11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Instrumento firmado entre ente e fornecedor.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100"/>
        <w:gridCol w:w="1300"/>
        <w:gridCol w:w="900"/>
        <w:gridCol w:w="53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 e origem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Identificador interno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processo_id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Processo de origem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ente_id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 contratante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fornecedor_id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Contratado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numero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Número do contrato na origem (P)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objeto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Objeto conforme publicado (P)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valor_inicial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NUMERIC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 na assinatura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valor_atual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NUMERIC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 após aditivos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data_assinatura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de assinatura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vigencia_inicio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Início da vigência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vigencia_fim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Fim da vigência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situacao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vigente, encerrado, rescindido, suspenso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documento_fonte_id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Artefato bruto que originou o registro</w:t>
            </w:r>
          </w:p>
        </w:tc>
      </w:tr>
    </w:tbl>
    <w:p>
      <w:pPr>
        <w:spacing w:after="140"/>
      </w:pPr>
    </w:p>
    <w:p>
      <w:pPr>
        <w:pStyle w:val="Heading3"/>
        <w:keepNext/>
        <w:keepLines/>
        <w:spacing w:after="100" w:before="220"/>
      </w:pPr>
      <w:bookmarkStart w:name="_Toc12" w:id="12"/>
      <w:r>
        <w:t xml:space="preserve">ItemContratado</w:t>
      </w:r>
      <w:bookmarkEnd w:id="12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Item individual de um contrato. É a entidade mais volumosa do modelo e a base das regras de preço.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100"/>
        <w:gridCol w:w="1300"/>
        <w:gridCol w:w="900"/>
        <w:gridCol w:w="53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 e origem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Identificador interno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contrato_id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Contrato ao qual pertence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descricao_original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Descrição exatamente como publicada (P)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catalogo_item_id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Classificação normalizada, base CATMAT ou CATSER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quantidade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NUMERIC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Quantidade contratada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unidade_medida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Unidade normalizada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valor_unitario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NUMERIC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Preço unitário; base das regras da família A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valor_total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NUMERIC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 total do item</w:t>
            </w:r>
          </w:p>
        </w:tc>
      </w:tr>
    </w:tbl>
    <w:p>
      <w:pPr>
        <w:spacing w:after="140"/>
      </w:pPr>
    </w:p>
    <w:p>
      <w:pPr>
        <w:pStyle w:val="Heading3"/>
        <w:keepNext/>
        <w:keepLines/>
        <w:spacing w:after="100" w:before="220"/>
      </w:pPr>
      <w:bookmarkStart w:name="_Toc13" w:id="13"/>
      <w:r>
        <w:t xml:space="preserve">Empenho</w:t>
      </w:r>
      <w:bookmarkEnd w:id="13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Primeiro estágio da despesa. Liquidacao e Pagamento seguem estrutura análoga e encadeada.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100"/>
        <w:gridCol w:w="1300"/>
        <w:gridCol w:w="900"/>
        <w:gridCol w:w="53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 e origem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Identificador interno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ente_id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 responsável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contrato_id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Contrato vinculado, quando existir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fornecedor_id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Credor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numero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Número do empenho na origem (P)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de emissão; base das regras de sazonalidade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NUMERIC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 empenhado; base das regras de fracionamento e Benford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elemento_despesa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Classificação orçamentária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funcao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Função de governo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subfuncao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Subfunção de governo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modalidade_licitacao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Modalidade declarada no empenho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documento_fonte_id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Artefato bruto que originou o registro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2"/>
        <w:keepNext/>
        <w:keepLines/>
        <w:spacing w:after="120" w:before="280"/>
      </w:pPr>
      <w:bookmarkStart w:name="_Toc14" w:id="14"/>
      <w:r>
        <w:t xml:space="preserve">3.2 Bloco de contexto</w:t>
      </w:r>
      <w:bookmarkEnd w:id="14"/>
    </w:p>
    <w:p>
      <w:pPr>
        <w:pStyle w:val="Heading3"/>
        <w:keepNext/>
        <w:keepLines/>
        <w:spacing w:after="100" w:before="220"/>
      </w:pPr>
      <w:bookmarkStart w:name="_Toc15" w:id="15"/>
      <w:r>
        <w:t xml:space="preserve">Fornecedor</w:t>
      </w:r>
      <w:bookmarkEnd w:id="15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Pessoa jurídica ou física contratada. Enriquecido com a base pública de CNPJ da Receita Federal.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100"/>
        <w:gridCol w:w="1300"/>
        <w:gridCol w:w="900"/>
        <w:gridCol w:w="53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 e origem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Identificador interno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cnpj_cpf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Documento; CPF sempre mascarado na exibição (S quando PF)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razao_social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Razão social (P)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nome_fantasia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 fantasia (P)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data_abertura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da regra de empresa recém-constituída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capital_social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NUMERIC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da regra de desproporção entre capital e contrato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cnae_principal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CHAR(7)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da regra de incompatibilidade de objeto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porte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MEI, ME, EPP, demais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situacao_cadastral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Situação na Receita Federal na data da consulta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endereco_hash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Hash do endereço normalizado, para detectar coincidência sem expor o endereço</w:t>
            </w:r>
          </w:p>
        </w:tc>
      </w:tr>
    </w:tbl>
    <w:p>
      <w:pPr>
        <w:spacing w:after="140"/>
      </w:pPr>
    </w:p>
    <w:p>
      <w:pPr>
        <w:pStyle w:val="Heading3"/>
        <w:keepNext/>
        <w:keepLines/>
        <w:spacing w:after="100" w:before="220"/>
      </w:pPr>
      <w:bookmarkStart w:name="_Toc16" w:id="16"/>
      <w:r>
        <w:t xml:space="preserve">Sancao</w:t>
      </w:r>
      <w:bookmarkEnd w:id="16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Sanção ou impedimento num cadastro da CGU (CEIS, CNEP, CEPIM), como publicado, num retrato diário do cadastro (implementado na Fase 1, ADR-030).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100"/>
        <w:gridCol w:w="1300"/>
        <w:gridCol w:w="900"/>
        <w:gridCol w:w="53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 e origem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Identificador interno: cadastro + código da sanção (no CEPIM, CNPJ + convênio)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cadastro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CEIS, CNEP, CEPIM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data_referencia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Dia do retrato do cadastro; o que está no cadastro hoje é o retrato mais recente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fornecedor_id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mesmo id do fornecedor no PNCP (CNPJ; CPF mascarado mais nome)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CNPJ inteiro; CPF sempre mascarado (S)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tipo_pessoa, nome, razao_social_receita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publicados; razão social só de pessoa jurídica (P)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categoria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Categoria da sanção; no CEPIM, o motivo do impedimento (P)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numero_processo, numero_convenio, valor_multa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TEXT, NUMERIC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Processo; convênio (CEPIM); multa (CNEP) (P)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data_inicio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Início da sanção; obrigatório no CEIS e no CNEP, ausente no CEPIM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data_fim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Fim da sanção; nulo quando sem prazo determinado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data_publicacao, data_transito_julgado, data_origem_informacao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Datas publicadas pela CGU (P)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abrangencia, orgao_sancionador, uf_orgao_sancionador, esfera_orgao_sancionador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TEXT, ENUM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Alcance da sanção e quem a aplicou; base da regra J-01 (P)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fundamentacao_legal, origem_informacao, meio_publicacao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publicados (P)</w:t>
            </w:r>
          </w:p>
        </w:tc>
      </w:tr>
    </w:tbl>
    <w:p>
      <w:pPr>
        <w:spacing w:after="140"/>
      </w:pPr>
    </w:p>
    <w:p>
      <w:pPr>
        <w:pStyle w:val="Heading3"/>
        <w:keepNext/>
        <w:keepLines/>
        <w:spacing w:after="100" w:before="220"/>
      </w:pPr>
      <w:bookmarkStart w:name="_Toc17" w:id="17"/>
      <w:r>
        <w:t xml:space="preserve">GrupoPares</w:t>
      </w:r>
      <w:bookmarkEnd w:id="17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Conjunto de entes comparáveis, recalculado periodicamente.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100"/>
        <w:gridCol w:w="1300"/>
        <w:gridCol w:w="900"/>
        <w:gridCol w:w="53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 e origem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Identificador interno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criterios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JSONB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Critérios que definiram o grupo, para reprodutibilidade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faixa_populacional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Faixa usada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regiao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Região usada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quantidade_entes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Tamanho do grupo; abaixo do mínimo estatístico gera ressalva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calculado_em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do cálculo</w:t>
            </w:r>
          </w:p>
        </w:tc>
      </w:tr>
    </w:tbl>
    <w:p>
      <w:pPr>
        <w:spacing w:after="140"/>
      </w:pPr>
    </w:p>
    <w:p>
      <w:pPr>
        <w:pStyle w:val="Heading2"/>
        <w:keepNext/>
        <w:keepLines/>
        <w:spacing w:after="120" w:before="280"/>
      </w:pPr>
      <w:bookmarkStart w:name="_Toc18" w:id="18"/>
      <w:r>
        <w:t xml:space="preserve">3.3 Bloco de análise e prova</w:t>
      </w:r>
      <w:bookmarkEnd w:id="18"/>
    </w:p>
    <w:p>
      <w:pPr>
        <w:pStyle w:val="Heading3"/>
        <w:keepNext/>
        <w:keepLines/>
        <w:spacing w:after="100" w:before="220"/>
      </w:pPr>
      <w:bookmarkStart w:name="_Toc19" w:id="19"/>
      <w:r>
        <w:t xml:space="preserve">DocumentoFonte</w:t>
      </w:r>
      <w:bookmarkEnd w:id="19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Artefato bruto preservado na camada bronze. É a prova que sustenta qualquer afirmação do sistema.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100"/>
        <w:gridCol w:w="1300"/>
        <w:gridCol w:w="900"/>
        <w:gridCol w:w="53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 e origem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Identificador interno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url_origem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URL efetiva após redirecionamentos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caminho_objeto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Localização no armazenamento de objetos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sha256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CHAR(64)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Hash do conteúdo; reconferido a cada leitura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formato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Tipo de mídia recebido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tamanho_bytes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Tamanho do artefato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coletado_em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Momento exato da coleta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cabecalhos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JSONB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Cabeçalhos de resposta relevantes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fonte_id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Fonte cadastrada que originou a coleta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versao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Versão da coleta desta URL; nunca sobrescreve a anterior</w:t>
            </w:r>
          </w:p>
        </w:tc>
      </w:tr>
    </w:tbl>
    <w:p>
      <w:pPr>
        <w:spacing w:after="140"/>
      </w:pPr>
    </w:p>
    <w:p>
      <w:pPr>
        <w:pStyle w:val="Heading3"/>
        <w:keepNext/>
        <w:keepLines/>
        <w:spacing w:after="100" w:before="220"/>
      </w:pPr>
      <w:bookmarkStart w:name="_Toc20" w:id="20"/>
      <w:r>
        <w:t xml:space="preserve">RegraDeteccao</w:t>
      </w:r>
      <w:bookmarkEnd w:id="20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Definição versionada de uma regra do catálogo do DOC-07.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100"/>
        <w:gridCol w:w="1300"/>
        <w:gridCol w:w="900"/>
        <w:gridCol w:w="53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 e origem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codigo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Código estável, por exemplo B-01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versao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Versão; alterações de parâmetro geram nova versão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familia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CHAR(1)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Família do catálogo, de A a K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titulo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Título em linguagem neutra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explicacao_publica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Explicação acessível exibida ao cidadão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parametros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JSONB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Parâmetros vigentes desta versão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severidade_base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baixa, media, alta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ativa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participa dos ciclos de detecção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vigente_desde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Início de vigência da versão</w:t>
            </w:r>
          </w:p>
        </w:tc>
      </w:tr>
    </w:tbl>
    <w:p>
      <w:pPr>
        <w:spacing w:after="140"/>
      </w:pPr>
    </w:p>
    <w:p>
      <w:pPr>
        <w:pStyle w:val="Heading3"/>
        <w:keepNext/>
        <w:keepLines/>
        <w:spacing w:after="100" w:before="220"/>
      </w:pPr>
      <w:bookmarkStart w:name="_Toc21" w:id="21"/>
      <w:r>
        <w:t xml:space="preserve">Indicio</w:t>
      </w:r>
      <w:bookmarkEnd w:id="21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Sinalização produzida por uma regra. Nunca contém conclusão sobre licitude.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100"/>
        <w:gridCol w:w="1300"/>
        <w:gridCol w:w="900"/>
        <w:gridCol w:w="53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 e origem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Identificador interno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regra_codigo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Regra que produziu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regra_versao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Versão exata da regra na execução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ente_id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 relacionado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alvo_tipo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contrato, empenho, processo, fornecedor_no_ente, ente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alvo_id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Identificador do objeto analisado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score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NUMERIC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Score composto normalizado entre 0 e 1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severidade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baixa, media, alta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estado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Conforme a máquina de estados da seção 4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parametros_aplicados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JSONB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Parâmetros efetivamente usados nesta execução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valores_observados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JSONB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Valores que dispararam a regra e a referência comparada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explicacao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Texto neutro gerado a partir de modelo aprovado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detectado_em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Momento da detecção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revisado_por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Analista responsável pela decisão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justificativa_decisao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Motivo registrado da publicação ou do descarte</w:t>
            </w:r>
          </w:p>
        </w:tc>
      </w:tr>
    </w:tbl>
    <w:p>
      <w:pPr>
        <w:spacing w:after="140"/>
      </w:pPr>
    </w:p>
    <w:p>
      <w:pPr>
        <w:pStyle w:val="Heading3"/>
        <w:keepNext/>
        <w:keepLines/>
        <w:spacing w:after="100" w:before="220"/>
      </w:pPr>
      <w:bookmarkStart w:name="_Toc22" w:id="22"/>
      <w:r>
        <w:t xml:space="preserve">Evidencia</w:t>
      </w:r>
      <w:bookmarkEnd w:id="22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Vínculo entre um indício e os documentos que o sustentam. Um indício sem evidência não pode ser publicado.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100"/>
        <w:gridCol w:w="1300"/>
        <w:gridCol w:w="900"/>
        <w:gridCol w:w="53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 e origem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Identificador interno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indicio_id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Indício sustentado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documento_fonte_id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 que sustenta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papel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principal, comparacao, contexto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trecho_referencia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Localização do trecho relevante dentro do documento</w:t>
            </w:r>
          </w:p>
        </w:tc>
      </w:tr>
    </w:tbl>
    <w:p>
      <w:pPr>
        <w:spacing w:after="140"/>
      </w:pPr>
    </w:p>
    <w:p>
      <w:pPr>
        <w:pStyle w:val="Heading3"/>
        <w:keepNext/>
        <w:keepLines/>
        <w:spacing w:after="100" w:before="220"/>
      </w:pPr>
      <w:bookmarkStart w:name="_Toc23" w:id="23"/>
      <w:r>
        <w:t xml:space="preserve">Contestacao</w:t>
      </w:r>
      <w:bookmarkEnd w:id="23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Manifestação formal de ente ou fornecedor sobre um indício publicado.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100"/>
        <w:gridCol w:w="1300"/>
        <w:gridCol w:w="900"/>
        <w:gridCol w:w="53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 e origem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Identificador interno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indicio_id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Indício contestado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protocolo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Protocolo público da contestação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origem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ente, fornecedor, terceiro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vinculo_comprovado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o solicitante comprovou vínculo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texto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Manifestação como enviada, sem edição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documentos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JSONB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Anexos apresentados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recebida_em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de recebimento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marcada_publicamente_em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Quando o indício passou a exibir a marcação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desfecho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mantido, retificado, removido</w:t>
            </w:r>
          </w:p>
        </w:tc>
      </w:tr>
    </w:tbl>
    <w:p>
      <w:pPr>
        <w:spacing w:after="140"/>
      </w:pPr>
    </w:p>
    <w:p>
      <w:pPr>
        <w:pStyle w:val="Heading3"/>
        <w:keepNext/>
        <w:keepLines/>
        <w:spacing w:after="100" w:before="220"/>
      </w:pPr>
      <w:bookmarkStart w:name="_Toc24" w:id="24"/>
      <w:r>
        <w:t xml:space="preserve">Conformidade</w:t>
      </w:r>
      <w:bookmarkEnd w:id="24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Avaliação do cumprimento das obrigações legais de publicação por um ente.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100"/>
        <w:gridCol w:w="1300"/>
        <w:gridCol w:w="900"/>
        <w:gridCol w:w="53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Obrig.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 e origem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Identificador interno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ente_id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 avaliado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criterio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Critério avaliado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dispositivo_legal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Dispositivo que fundamenta a obrigação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resultado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cumpre, cumpre_parcialmente, nao_cumpre, indeterminado</w:t>
            </w:r>
          </w:p>
        </w:tc>
      </w:tr>
      <w:tr>
        <w:trPr>
          <w:cantSplit/>
        </w:trP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motivo_indeterminado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5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Usado quando houve indisponibilidade técnica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avaliado_em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da avaliação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25" w:id="25"/>
      <w:r>
        <w:t xml:space="preserve">4. Ciclo de vida do indício</w:t>
      </w:r>
      <w:bookmarkEnd w:id="25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 estado de um indício é controlado por máquina de estados explícita. Transições não previstas são rejeitadas pelo domínio, o que impede, por exemplo, que um indício seja publicado sem passar pela revisão quando a severidade exige.</w:t>
      </w:r>
    </w:p>
    <w:p>
      <w:pPr>
        <w:spacing w:after="70" w:before="140" w:line="240" w:lineRule="auto"/>
        <w:jc w:val="center"/>
      </w:pPr>
      <w:r>
        <w:drawing>
          <wp:inline distT="0" distB="0" distL="0" distR="0">
            <wp:extent cx="5334000" cy="40576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000000"/>
          <w:sz w:val="17"/>
          <w:szCs w:val="17"/>
        </w:rPr>
        <w:t xml:space="preserve">Figura 2. Máquina de estados do indício, da detecção ao encerramento.</w:t>
      </w:r>
    </w:p>
    <w:p>
      <w:pPr>
        <w:pStyle w:val="Heading1"/>
        <w:keepNext/>
        <w:keepLines/>
        <w:spacing w:after="160" w:before="380"/>
      </w:pPr>
      <w:bookmarkStart w:name="_Toc26" w:id="26"/>
      <w:r>
        <w:t xml:space="preserve">5. Identidade e resolução de entidades</w:t>
      </w:r>
      <w:bookmarkEnd w:id="26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Resolver identidade é um dos pontos mais delicados do modelo. Grafias divergentes, CNPJ ausente e mudanças de razão social são a norma, não a exceção.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2700"/>
        <w:gridCol w:w="50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Entidade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Chave preferencial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Estratégia quando a chave falta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Código IBGE, depois CNPJ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Comparação de nome normalizado restrita à mesma UF, com revisão manual em caso de ambiguidade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Fornecedor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CNPJ completo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Agrupamento por raiz de CNPJ mantendo filiais distinguíveis; pessoa física por documento mascarado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Contrato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 mais número mais exercício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Comparação adicional por objeto, fornecedor e valor quando o número não é publicado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Classificação de catálogo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Similaridade textual sobre descrição normalizada, com faixa de confiança registrada no próprio registro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Agente público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 mais ente mais período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Sem unificação automática entre entes distintos; homônimos permanecem separados por decisão de projeto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As chaves efetivamente usadas na Fase 1, onde a fonte já entrega um identificador estável, estão na seção 8.2.</w:t>
      </w:r>
    </w:p>
    <w:tbl>
      <w:tblPr>
        <w:tblW w:type="dxa" w:w="9600"/>
        <w:tblBorders>
          <w:top w:val="single" w:color="BF8F00" w:sz="6"/>
          <w:left w:val="single" w:color="BF8F00" w:sz="18"/>
          <w:bottom w:val="single" w:color="BF8F00" w:sz="6"/>
          <w:right w:val="single" w:color="BF8F00" w:sz="6"/>
          <w:insideH w:val="none" w:color="FFFFFF" w:sz="0"/>
          <w:insideV w:val="none" w:color="FFFFFF" w:sz="0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FFF6E0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90"/>
            </w:pPr>
            <w:r>
              <w:rPr>
                <w:b/>
                <w:bCs/>
                <w:color w:val="000000"/>
              </w:rPr>
              <w:t xml:space="preserve">Decisão deliberada sobre agentes públicos</w:t>
            </w:r>
          </w:p>
          <w:p>
            <w:pPr>
              <w:spacing w:after="70"/>
            </w:pPr>
            <w:r>
              <w:t xml:space="preserve">O sistema não unifica automaticamente o mesmo nome entre entes diferentes. Unificar homônimos sem documento identificador criaria associações incorretas entre pessoas distintas, com potencial de dano reputacional. O custo aceito é a fragmentação do histórico de um mesmo agente entre entes.</w:t>
            </w:r>
          </w:p>
        </w:tc>
      </w:tr>
    </w:tbl>
    <w:p>
      <w:pPr>
        <w:pStyle w:val="Heading1"/>
        <w:keepNext/>
        <w:keepLines/>
        <w:spacing w:after="160" w:before="380"/>
      </w:pPr>
      <w:bookmarkStart w:name="_Toc27" w:id="27"/>
      <w:r>
        <w:t xml:space="preserve">6. Qualidade de dados</w:t>
      </w:r>
      <w:bookmarkEnd w:id="27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As regras de qualidade rodam na transição de bronze para silver. Registros reprovados vão para quarentena com o motivo, sem interromper o lote, e são revisados periodicamente.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4400"/>
        <w:gridCol w:w="33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Verificação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Ação na falha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Completude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Campos obrigatórios do esquema canônico presentes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Quarentena com o campo faltante registrado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Validade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CNPJ com dígito verificador válido, datas coerentes, valores não negativos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Quarentena com o teste que falhou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Consistência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 total do contrato compatível com a soma dos itens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Aceita com marcação de inconsistência; não bloqueia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Temporalidade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do ato dentro do exercício declarado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Quarentena para conferência manual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Unicidade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Ausência de duplicata pela chave de identidade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Deduplicação com preservação da proveniência de cada ocorrência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Referência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Chaves estrangeiras resolvidas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Registro mantido com vínculo pendente e nova tentativa no ciclo seguinte</w:t>
            </w:r>
          </w:p>
        </w:tc>
      </w:tr>
    </w:tbl>
    <w:p>
      <w:pPr>
        <w:pStyle w:val="Heading1"/>
        <w:keepNext/>
        <w:keepLines/>
        <w:spacing w:after="160" w:before="380"/>
      </w:pPr>
      <w:bookmarkStart w:name="_Toc28" w:id="28"/>
      <w:r>
        <w:t xml:space="preserve">7. Particionamento e retenção</w:t>
      </w:r>
      <w:bookmarkEnd w:id="28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800"/>
        <w:gridCol w:w="4400"/>
        <w:gridCol w:w="3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Particionamento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Retenção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Bronze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 fonte, ano e mês de coleta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Permanente; é a prova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Silver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 entidade, exercício e unidade federativa (JSON Lines na Fase 1, ADR-016)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Regerável; retida enquanto útil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Gold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 exercício e tipo de agregado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Recalculada a cada mudança de regra ou linha de base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Domínio</w:t>
            </w:r>
          </w:p>
        </w:tc>
        <w:tc>
          <w:tcPr>
            <w:tcW w:type="dxa" w:w="4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Sem particionamento na fase inicial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Permanente, com backup testado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Auditoria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 mês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Permanente e somente-anexação</w:t>
            </w:r>
          </w:p>
        </w:tc>
      </w:tr>
    </w:tbl>
    <w:p>
      <w:pPr>
        <w:pStyle w:val="Heading1"/>
        <w:keepNext/>
        <w:keepLines/>
        <w:pageBreakBefore/>
        <w:spacing w:after="160" w:before="380"/>
      </w:pPr>
      <w:bookmarkStart w:name="_Toc29" w:id="29"/>
      <w:r>
        <w:t xml:space="preserve">8. Implementação da Fase 1</w:t>
      </w:r>
      <w:bookmarkEnd w:id="29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As seções anteriores descrevem o modelo de destino. Esta seção registra o que a Fase 1 implementou ao consumir as fontes reais (PNCP, SICONFI e IBGE) e onde a implementação diverge do dicionário, com o motivo (ADR-017). O código está em packages/canonico e packages/normalizacao; a descrição função por função, no DOC-11.</w:t>
      </w:r>
    </w:p>
    <w:p>
      <w:pPr>
        <w:pStyle w:val="Heading2"/>
        <w:keepNext/>
        <w:keepLines/>
        <w:spacing w:after="120" w:before="280"/>
      </w:pPr>
      <w:bookmarkStart w:name="_Toc30" w:id="30"/>
      <w:r>
        <w:t xml:space="preserve">8.1 Do modelo conceitual às entidades implementadas</w:t>
      </w:r>
      <w:bookmarkEnd w:id="30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300"/>
        <w:gridCol w:w="2700"/>
        <w:gridCol w:w="460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Entidade do dicionário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 Fase 1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Ente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EnteFederativo, Orgao, UnidadeGestora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Separados porque o PNCP identifica o órgão pelo CNPJ e a unidade pelo código; o ente vem do código IBGE</w:t>
            </w:r>
          </w:p>
        </w:tc>
      </w:tr>
      <w:tr>
        <w:trPr>
          <w:cantSplit/>
        </w:trPr>
        <w:tc>
          <w:tcPr>
            <w:tcW w:type="dxa" w:w="2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ProcessoContratacao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ProcessoContratacao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Inclui modo de disputa, registro de preço, valores estimado e homologado, situação e sistema de origem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ItemContratado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ItemContratacao e ResultadoItem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 item pertence ao processo; o resultado (fornecedor, valor homologado) é registro próprio, porque um item pode ter mais de um</w:t>
            </w:r>
          </w:p>
        </w:tc>
      </w:tr>
      <w:tr>
        <w:trPr>
          <w:cantSplit/>
        </w:trPr>
        <w:tc>
          <w:tcPr>
            <w:tcW w:type="dxa" w:w="2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Contrato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Contrato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Valores inicial, global, de parcela e acumulado, como o PNCP publica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AmparoLegal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AmparoLegal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Código do PNCP ligado ao parâmetro legal datado (parametro_limite)</w:t>
            </w:r>
          </w:p>
        </w:tc>
      </w:tr>
      <w:tr>
        <w:trPr>
          <w:cantSplit/>
        </w:trPr>
        <w:tc>
          <w:tcPr>
            <w:tcW w:type="dxa" w:w="2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AtaRegistroPreco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Nova: atas de registro de preço do PNCP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Conformidade (insumo)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EntregaSiconfi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Nova: o que cada ente entregou ao SICONFI, base da família I</w:t>
            </w:r>
          </w:p>
        </w:tc>
      </w:tr>
      <w:tr>
        <w:trPr>
          <w:cantSplit/>
        </w:trPr>
        <w:tc>
          <w:tcPr>
            <w:tcW w:type="dxa" w:w="2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Dados fiscais (insumo)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LinhaDemonstrativo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Nova: cada linha do RREO, do RGF e da DCA como o Tesouro publica (ente, exercício, período, demonstrativo, anexo, coluna, conta e valor); dela sai a receita corrente líquida do ente, usada no grupo de pares (ADR-038)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AtoAutorizativo, AgentePublico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Não preenchidas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 API do PNCP não publica quem autorizou o ato (seção 8.3)</w:t>
            </w:r>
          </w:p>
        </w:tc>
      </w:tr>
      <w:tr>
        <w:trPr>
          <w:cantSplit/>
        </w:trPr>
        <w:tc>
          <w:tcPr>
            <w:tcW w:type="dxa" w:w="2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Empenho, Liquidacao, Pagamento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Não preenchidas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Dependem do Portal da Transparência e de fontes estaduais (fases seguintes)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Fornecedor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Identificador e documento no resultado e no contrato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 entidade completa depende da base de CNPJ da Receita (pendente)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31" w:id="31"/>
      <w:r>
        <w:t xml:space="preserve">8.2 Identidade determinística</w:t>
      </w:r>
      <w:bookmarkEnd w:id="31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 id de todo registro de fato é um UUID versão 5 calculado a partir de um espaço de nomes fixo do projeto e da chave natural do registro. O mesmo dado coletado duas vezes recebe o mesmo id, em qualquer máquina: a normalização é idempotente e a silver inteira pode ser reconstruída do bronze sem deixar indício órfão. Chave com parte nula ou vazia é recusada, porque daria o mesmo id a registros diferentes.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Entidade</w:t>
            </w:r>
          </w:p>
        </w:tc>
        <w:tc>
          <w:tcPr>
            <w:tcW w:type="dxa" w:w="6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Chave natural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EnteFederativo</w:t>
            </w:r>
          </w:p>
        </w:tc>
        <w:tc>
          <w:tcPr>
            <w:tcW w:type="dxa" w:w="6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Código IBGE (1 para a União, 2 dígitos para estados, 7 para municípios)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Orgao</w:t>
            </w:r>
          </w:p>
        </w:tc>
        <w:tc>
          <w:tcPr>
            <w:tcW w:type="dxa" w:w="6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CNPJ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UnidadeGestora</w:t>
            </w:r>
          </w:p>
        </w:tc>
        <w:tc>
          <w:tcPr>
            <w:tcW w:type="dxa" w:w="6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CNPJ do órgão e código da unidade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AmparoLegal</w:t>
            </w:r>
          </w:p>
        </w:tc>
        <w:tc>
          <w:tcPr>
            <w:tcW w:type="dxa" w:w="6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"pncp" e o código do amparo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ProcessoContratacao</w:t>
            </w:r>
          </w:p>
        </w:tc>
        <w:tc>
          <w:tcPr>
            <w:tcW w:type="dxa" w:w="6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numeroControlePNCP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ItemContratacao</w:t>
            </w:r>
          </w:p>
        </w:tc>
        <w:tc>
          <w:tcPr>
            <w:tcW w:type="dxa" w:w="6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numeroControlePNCP do processo e número do item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ResultadoItem</w:t>
            </w:r>
          </w:p>
        </w:tc>
        <w:tc>
          <w:tcPr>
            <w:tcW w:type="dxa" w:w="6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numeroControlePNCP, número do item e sequencial do resultado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Contrato, AtaRegistroPreco</w:t>
            </w:r>
          </w:p>
        </w:tc>
        <w:tc>
          <w:tcPr>
            <w:tcW w:type="dxa" w:w="6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numeroControlePNCP do próprio instrumento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EntregaSiconfi</w:t>
            </w:r>
          </w:p>
        </w:tc>
        <w:tc>
          <w:tcPr>
            <w:tcW w:type="dxa" w:w="6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Código IBGE, instituição, entregável, exercício e período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LinhaDemonstrativo</w:t>
            </w:r>
          </w:p>
        </w:tc>
        <w:tc>
          <w:tcPr>
            <w:tcW w:type="dxa" w:w="6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Código IBGE, exercício, período, demonstrativo, anexo, instituição, rótulo, coluna, código da conta e conta (o mesmo código de conta se repete com contas diferentes)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Fornecedor (pessoa jurídica)</w:t>
            </w:r>
          </w:p>
        </w:tc>
        <w:tc>
          <w:tcPr>
            <w:tcW w:type="dxa" w:w="6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CNPJ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Fornecedor (pessoa física)</w:t>
            </w:r>
          </w:p>
        </w:tc>
        <w:tc>
          <w:tcPr>
            <w:tcW w:type="dxa" w:w="6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CPF mascarado e nome — nunca o CPF inteiro, que seria recuperável por força bruta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32" w:id="32"/>
      <w:r>
        <w:t xml:space="preserve">8.3 Divergências registradas</w:t>
      </w:r>
      <w:bookmarkEnd w:id="32"/>
    </w:p>
    <w:p>
      <w:pPr>
        <w:pStyle w:val="ListParagraph"/>
        <w:numPr>
          <w:ilvl w:val="0"/>
          <w:numId w:val="3"/>
        </w:numPr>
        <w:spacing w:after="70"/>
      </w:pPr>
      <w:r>
        <w:t xml:space="preserve">Agente que autorizou o ato: ausente na fonte. O campo usuarioNome do PNCP é a plataforma de software que enviou os dados, guardada em sistema_origem. A exigência editorial de mostrar quem praticou o ato depende de fonte complementar (diário oficial ou portal do ente).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Esfera ou poder não informados (valor N na fonte) viram nulo com marcação; o ente não é adivinhado a partir do CNPJ.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Limite de dispensa: vem do código do amparo e do parâmetro legal datado. A descrição publicada pelo PNCP ainda cita os valores originais da lei e nunca é lida como limite.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CNPJ alfanumérico: o dígito verificador já é calculado no formato alfanumérico adotado pela Receita Federal (valor do caractere = código ASCII − 48).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Sensibilidade por campo: cada entidade declara a classe de cada campo, conferida na construção; CPF sai sempre mascarado.</w:t>
      </w:r>
    </w:p>
    <w:p>
      <w:pPr>
        <w:pStyle w:val="Heading2"/>
        <w:keepNext/>
        <w:keepLines/>
        <w:spacing w:after="120" w:before="280"/>
      </w:pPr>
      <w:bookmarkStart w:name="_Toc33" w:id="33"/>
      <w:r>
        <w:t xml:space="preserve">8.4 Quarentena e marcações de qualidade</w:t>
      </w:r>
      <w:bookmarkEnd w:id="33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Linha que não pode virar registro canônico (campo obrigatório ausente, valor ilegível, data fora de qualquer exercício plausível) vai para a quarentena com fonte, artefato, chave, posição, campo e valor recebido (truncado); o resto do artefato segue. Linha aproveitável com ressalva entra na silver com marcações de qualidade, que acompanham o registro até a tela: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600"/>
        <w:gridCol w:w="60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Marcação</w:t>
            </w:r>
          </w:p>
        </w:tc>
        <w:tc>
          <w:tcPr>
            <w:tcW w:type="dxa" w:w="6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esfera_nao_informada, poder_nao_informado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 fonte publica N (não informado)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ente_nao_resolvido</w:t>
            </w:r>
          </w:p>
        </w:tc>
        <w:tc>
          <w:tcPr>
            <w:tcW w:type="dxa" w:w="6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Não há como determinar o ente com segurança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codigo_ibge_ausente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Registro sem código IBGE onde ele seria esperado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valor_estimado_zero</w:t>
            </w:r>
          </w:p>
        </w:tc>
        <w:tc>
          <w:tcPr>
            <w:tcW w:type="dxa" w:w="6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Valor estimado publicado como zero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valor_homologado_ausente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Sem valor homologado publicado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valor_total_diverge_itens</w:t>
            </w:r>
          </w:p>
        </w:tc>
        <w:tc>
          <w:tcPr>
            <w:tcW w:type="dxa" w:w="6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Valor total do processo diferente da soma dos itens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documento_fornecedor_invalido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CPF ou CNPJ do fornecedor com dígito verificador inválido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cnpj_orgao_invalido</w:t>
            </w:r>
          </w:p>
        </w:tc>
        <w:tc>
          <w:tcPr>
            <w:tcW w:type="dxa" w:w="6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CNPJ do órgão inválido; o campo fica nulo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modalidade_desconhecida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Código de modalidade fora do domínio oficial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34" w:id="34"/>
      <w:r>
        <w:t xml:space="preserve">8.5 Armazenamento da silver</w:t>
      </w:r>
      <w:bookmarkEnd w:id="34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Na Fase 1 a silver é gravada em JSON Lines, no mesmo particionamento Hive previsto para o Parquet (entidade/exercicio=AAAA/uf=XX/), sem dependência nova (ADR-015, ADR-016). Cada artefato do bronze vira exatamente um arquivo por partição, com nome derivado do identificador do artefato, regravado por troca atômica: reprocessar produz os mesmos bytes. Cada linha leva a versão do normalizador e o instante da coleta.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 mesmo registro aparece em mais de um artefato (coleta por publicação e por atualização, por exemplo); a silver guarda todas as ocorrências, cada uma com a sua proveniência. A visão consolidada escolhe uma por id: a de atualizado_em mais recente, depois a coleta mais recente. A regra existe em Python (silver.consolidar) e como macro do DuckDB (packages/normalizacao/sql/silver_consolidada.sql), e um teste confere que as duas escolhem as mesmas linhas. A conversão para Parquet é um passo de compactação futuro que não muda nenhum contrato.</w:t>
      </w:r>
    </w:p>
    <w:p>
      <w:pPr>
        <w:pStyle w:val="Heading2"/>
        <w:keepNext/>
        <w:keepLines/>
        <w:spacing w:after="120" w:before="280"/>
      </w:pPr>
      <w:bookmarkStart w:name="_Toc35" w:id="35"/>
      <w:r>
        <w:t xml:space="preserve">8.6 Banco de domínio (migração 0001)</w:t>
      </w:r>
      <w:bookmarkEnd w:id="35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 PostgreSQL guarda só o que é transacional e de prova; o fato administrativo em volume fica na silver e na gold (ADR-005). Três garantias são impostas pelo próprio banco, além da aplicação: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400"/>
        <w:gridCol w:w="62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Garantia</w:t>
            </w:r>
          </w:p>
        </w:tc>
        <w:tc>
          <w:tcPr>
            <w:tcW w:type="dxa" w:w="6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o banco impõe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Prova e auditoria somente-anexação</w:t>
            </w:r>
          </w:p>
        </w:tc>
        <w:tc>
          <w:tcPr>
            <w:tcW w:type="dxa" w:w="6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Gatilhos recusam alteração e remoção em documento_fonte, evidencia, aprovacao_indicio, transicao_indicio e trilha_auditoria</w:t>
            </w:r>
          </w:p>
        </w:tc>
      </w:tr>
      <w:tr>
        <w:trPr>
          <w:cantSplit/>
        </w:trPr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Indício só publicado com evidência e revisores distintos</w:t>
            </w:r>
          </w:p>
        </w:tc>
        <w:tc>
          <w:tcPr>
            <w:tcW w:type="dxa" w:w="6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Máquina de estados por gatilho (transições permitidas em tabela); aprovação por revisor, nunca "sistema", com o número mínimo pela severidade; o conteúdo do indício é imutável (só estado e protocolo mudam) e ele não pode ser apagado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Conformidade indeterminada exige motivo</w:t>
            </w:r>
          </w:p>
        </w:tc>
        <w:tc>
          <w:tcPr>
            <w:tcW w:type="dxa" w:w="6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Restrição de verificação na tabela conformidade</w:t>
            </w:r>
          </w:p>
        </w:tc>
      </w:tr>
      <w:tr>
        <w:trPr>
          <w:cantSplit/>
        </w:trPr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Defesa em profundidade</w:t>
            </w:r>
          </w:p>
        </w:tc>
        <w:tc>
          <w:tcPr>
            <w:tcW w:type="dxa" w:w="6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 aplicação conecta com o papel lumen_app, que não recebe UPDATE nem DELETE nas tabelas de prova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Tabelas: migracao, fonte, documento_fonte, grupo_pares, ente_federativo, orgao, regra_deteccao, indicio, evidencia, aprovacao_indicio, transicao_indicio, transicao_permitida, contestacao, conformidade e trilha_auditoria. Os testes de migração rodam contra PostgreSQL 16 no CI.</w:t>
      </w:r>
    </w:p>
    <w:sectPr>
      <w:headerReference w:type="default" r:id="rId6"/>
      <w:footerReference w:type="default" r:id="rId7"/>
      <w:pgSz w:w="11906" w:h="16838" w:orient="portrait"/>
      <w:pgMar w:top="1140" w:right="1134" w:bottom="114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00000"/>
        <w:sz w:val="16"/>
        <w:szCs w:val="16"/>
      </w:rPr>
      <w:t xml:space="preserve">Pagina </w:t>
    </w:r>
    <w:r>
      <w:rPr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000000"/>
        <w:sz w:val="16"/>
        <w:szCs w:val="16"/>
      </w:rPr>
      <w:t xml:space="preserve"> de </w:t>
    </w:r>
    <w:r>
      <w:rPr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6"/>
      </w:pBdr>
    </w:pPr>
    <w:r>
      <w:rPr>
        <w:color w:val="000000"/>
        <w:sz w:val="16"/>
        <w:szCs w:val="16"/>
      </w:rPr>
      <w:t xml:space="preserve">Projeto Lumen  |  DOC-05 Modelo de Dados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50"/>
      </w:pPr>
    </w:lvl>
    <w:lvl w:ilvl="1" w:tentative="1">
      <w:start w:val="1"/>
      <w:numFmt w:val="bullet"/>
      <w:lvlText w:val="◦"/>
      <w:lvlJc w:val="left"/>
      <w:pPr>
        <w:ind w:left="840" w:hanging="250"/>
      </w:pPr>
    </w:lvl>
    <w:lvl w:ilvl="2" w:tentative="1">
      <w:start w:val="1"/>
      <w:numFmt w:val="bullet"/>
      <w:lvlText w:val="▪"/>
      <w:lvlJc w:val="left"/>
      <w:pPr>
        <w:ind w:left="1260" w:hanging="25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280"/>
      </w:pPr>
    </w:lvl>
    <w:lvl w:ilvl="1" w:tentative="1">
      <w:start w:val="1"/>
      <w:numFmt w:val="lowerLetter"/>
      <w:lvlText w:val="%2)"/>
      <w:lvlJc w:val="left"/>
      <w:pPr>
        <w:ind w:left="8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80"/>
    </w:pPr>
    <w:rPr>
      <w:rFonts w:ascii="Calibri Light" w:cs="Calibri Light" w:eastAsia="Calibri Light" w:hAnsi="Calibri Light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 Light" w:cs="Calibri Light" w:eastAsia="Calibri Light" w:hAnsi="Calibri Light"/>
      <w:b/>
      <w:bCs/>
      <w:color w:val="00000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3e7167499cbc2a57c39a646a3153a979bc13b9b.png"/><Relationship Id="rId10" Type="http://schemas.openxmlformats.org/officeDocument/2006/relationships/image" Target="media/fb71f6b93db7dd5b41403a850f717ff63aa0602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DOC-05 - Modelo de Dados</dc:title>
  <dc:creator>Projeto Lumen</dc:creator>
  <dc:description>Esquema canônico, dicionário de dados e resolução de identidade</dc:description>
  <cp:lastModifiedBy>Un-named</cp:lastModifiedBy>
  <cp:revision>1</cp:revision>
  <dcterms:created xsi:type="dcterms:W3CDTF">2026-10-20T11:31:06.532Z</dcterms:created>
  <dcterms:modified xsi:type="dcterms:W3CDTF">2026-10-20T11:31:06.533Z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