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7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 primeiros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perto de 20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 primeiros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Estado guardado entre execuções</w:t>
      </w:r>
      <w:bookmarkEnd w:id="20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Site publicado</w:t>
      </w:r>
      <w:bookmarkEnd w:id="21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7. Regras de soma das contratações</w:t>
      </w:r>
      <w:bookmarkEnd w:id="22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8. Avaliação da conformidade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8.1 Comparação com o grupo de pares (ADR-038)</w:t>
      </w:r>
      <w:bookmarkEnd w:id="24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9. Portal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10. Operação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7" w:id="27"/>
      <w:r>
        <w:t xml:space="preserve">Configuração, uma vez</w:t>
      </w:r>
      <w:bookmarkEnd w:id="27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8" w:id="28"/>
      <w:r>
        <w:t xml:space="preserve">Comandos locais</w:t>
      </w:r>
      <w:bookmarkEnd w:id="28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Limites</w:t>
      </w:r>
      <w:bookmarkEnd w:id="29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0" w:id="30"/>
      <w:r>
        <w:t xml:space="preserve">11. Verificação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12. Próximos passos e riscos</w:t>
      </w:r>
      <w:bookmarkEnd w:id="3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2026-10-21T11:00:36.481Z</dcterms:created>
  <dcterms:modified xsi:type="dcterms:W3CDTF">2026-10-21T11:00:36.482Z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