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900"/>
      </w:pPr>
      <w:r>
        <w:rPr>
          <w:b/>
          <w:bCs/>
          <w:color w:val="000000"/>
          <w:spacing w:val="60"/>
          <w:sz w:val="26"/>
          <w:szCs w:val="26"/>
        </w:rPr>
        <w:t xml:space="preserve">PROJETO LUMEN</w:t>
      </w:r>
    </w:p>
    <w:p>
      <w:pPr>
        <w:spacing w:after="400"/>
      </w:pPr>
      <w:r>
        <w:rPr>
          <w:color w:val="000000"/>
          <w:sz w:val="20"/>
          <w:szCs w:val="20"/>
        </w:rPr>
        <w:t xml:space="preserve">Monitoramento de contratações e despesas públicas do Brasil</w:t>
      </w:r>
    </w:p>
    <w:p>
      <w:pPr>
        <w:spacing w:after="80"/>
      </w:pPr>
      <w:r>
        <w:rPr>
          <w:b/>
          <w:bCs/>
          <w:color w:val="000000"/>
          <w:sz w:val="22"/>
          <w:szCs w:val="22"/>
        </w:rPr>
        <w:t xml:space="preserve">DOC-06</w:t>
      </w:r>
    </w:p>
    <w:p>
      <w:pPr>
        <w:spacing w:after="140"/>
      </w:pPr>
      <w:r>
        <w:rPr>
          <w:b/>
          <w:bCs/>
          <w:color w:val="000000"/>
          <w:sz w:val="48"/>
          <w:szCs w:val="48"/>
        </w:rPr>
        <w:t xml:space="preserve">Catálogo de Fontes</w:t>
      </w:r>
    </w:p>
    <w:p>
      <w:pPr>
        <w:pBdr>
          <w:bottom w:val="single" w:color="000000" w:sz="8" w:space="14"/>
        </w:pBdr>
        <w:spacing w:after="700"/>
      </w:pPr>
      <w:r>
        <w:rPr>
          <w:i/>
          <w:iCs/>
          <w:color w:val="000000"/>
          <w:sz w:val="24"/>
          <w:szCs w:val="24"/>
        </w:rPr>
        <w:t xml:space="preserve">Fontes por esfera, estratégia de cobertura nacional e coleta responsável</w:t>
      </w:r>
    </w:p>
    <w:tbl>
      <w:tblPr>
        <w:tblW w:type="dxa" w:w="9600"/>
        <w:tblBorders>
          <w:top w:val="single" w:color="BFBFBF" w:sz="4"/>
          <w:left w:val="single" w:color="BFBFBF" w:sz="4"/>
          <w:bottom w:val="single" w:color="BFBFBF" w:sz="4"/>
          <w:right w:val="single" w:color="BFBFBF" w:sz="4"/>
          <w:insideH w:val="single" w:color="D9D9D9" w:sz="2"/>
          <w:insideV w:val="single" w:color="D9D9D9" w:sz="2"/>
        </w:tblBorders>
      </w:tblPr>
      <w:tblGrid>
        <w:gridCol w:w="2400"/>
        <w:gridCol w:w="7200"/>
      </w:tblGrid>
      <w:tr>
        <w:trPr>
          <w:cantSplit/>
        </w:trPr>
        <w:tc>
          <w:tcPr>
            <w:tcW w:type="dxa" w:w="2400"/>
            <w:shd w:fill="FFFFFF" w:val="clear"/>
            <w:tcMar>
              <w:top w:type="dxa" w:w="70"/>
              <w:left w:type="dxa" w:w="110"/>
              <w:bottom w:type="dxa" w:w="70"/>
              <w:right w:type="dxa" w:w="110"/>
            </w:tcMar>
            <w:vAlign w:val="center"/>
          </w:tcPr>
          <w:p>
            <w:pPr>
              <w:spacing w:after="0"/>
            </w:pPr>
            <w:r>
              <w:rPr>
                <w:b/>
                <w:bCs/>
                <w:sz w:val="19"/>
                <w:szCs w:val="19"/>
              </w:rPr>
              <w:t xml:space="preserve">Projeto</w:t>
            </w:r>
          </w:p>
        </w:tc>
        <w:tc>
          <w:tcPr>
            <w:tcW w:type="dxa" w:w="7200"/>
            <w:shd w:fill="FFFFFF" w:val="clear"/>
            <w:tcMar>
              <w:top w:type="dxa" w:w="70"/>
              <w:left w:type="dxa" w:w="110"/>
              <w:bottom w:type="dxa" w:w="70"/>
              <w:right w:type="dxa" w:w="110"/>
            </w:tcMar>
            <w:vAlign w:val="center"/>
          </w:tcPr>
          <w:p>
            <w:pPr>
              <w:spacing w:after="0"/>
            </w:pPr>
            <w:r>
              <w:rPr>
                <w:b w:val="false"/>
                <w:bCs w:val="false"/>
                <w:sz w:val="19"/>
                <w:szCs w:val="19"/>
              </w:rPr>
              <w:t xml:space="preserve">Lumen (nome de trabalho, sujeito a verificação de disponibilidade)</w:t>
            </w:r>
          </w:p>
        </w:tc>
      </w:tr>
      <w:tr>
        <w:trPr>
          <w:cantSplit/>
        </w:trPr>
        <w:tc>
          <w:tcPr>
            <w:tcW w:type="dxa" w:w="2400"/>
            <w:shd w:fill="F2F2F2" w:val="clear"/>
            <w:tcMar>
              <w:top w:type="dxa" w:w="70"/>
              <w:left w:type="dxa" w:w="110"/>
              <w:bottom w:type="dxa" w:w="70"/>
              <w:right w:type="dxa" w:w="110"/>
            </w:tcMar>
            <w:vAlign w:val="center"/>
          </w:tcPr>
          <w:p>
            <w:pPr>
              <w:spacing w:after="0"/>
            </w:pPr>
            <w:r>
              <w:rPr>
                <w:b/>
                <w:bCs/>
                <w:sz w:val="19"/>
                <w:szCs w:val="19"/>
              </w:rPr>
              <w:t xml:space="preserve">Responsável</w:t>
            </w:r>
          </w:p>
        </w:tc>
        <w:tc>
          <w:tcPr>
            <w:tcW w:type="dxa" w:w="7200"/>
            <w:shd w:fill="F2F2F2" w:val="clear"/>
            <w:tcMar>
              <w:top w:type="dxa" w:w="70"/>
              <w:left w:type="dxa" w:w="110"/>
              <w:bottom w:type="dxa" w:w="70"/>
              <w:right w:type="dxa" w:w="110"/>
            </w:tcMar>
            <w:vAlign w:val="center"/>
          </w:tcPr>
          <w:p>
            <w:pPr>
              <w:spacing w:after="0"/>
            </w:pPr>
            <w:r>
              <w:rPr>
                <w:b w:val="false"/>
                <w:bCs w:val="false"/>
                <w:sz w:val="19"/>
                <w:szCs w:val="19"/>
              </w:rPr>
              <w:t xml:space="preserve">Gaspare</w:t>
            </w:r>
          </w:p>
        </w:tc>
      </w:tr>
      <w:tr>
        <w:trPr>
          <w:cantSplit/>
        </w:trPr>
        <w:tc>
          <w:tcPr>
            <w:tcW w:type="dxa" w:w="2400"/>
            <w:shd w:fill="FFFFFF" w:val="clear"/>
            <w:tcMar>
              <w:top w:type="dxa" w:w="70"/>
              <w:left w:type="dxa" w:w="110"/>
              <w:bottom w:type="dxa" w:w="70"/>
              <w:right w:type="dxa" w:w="110"/>
            </w:tcMar>
            <w:vAlign w:val="center"/>
          </w:tcPr>
          <w:p>
            <w:pPr>
              <w:spacing w:after="0"/>
            </w:pPr>
            <w:r>
              <w:rPr>
                <w:b/>
                <w:bCs/>
                <w:sz w:val="19"/>
                <w:szCs w:val="19"/>
              </w:rPr>
              <w:t xml:space="preserve">Versão</w:t>
            </w:r>
          </w:p>
        </w:tc>
        <w:tc>
          <w:tcPr>
            <w:tcW w:type="dxa" w:w="7200"/>
            <w:shd w:fill="FFFFFF" w:val="clear"/>
            <w:tcMar>
              <w:top w:type="dxa" w:w="70"/>
              <w:left w:type="dxa" w:w="110"/>
              <w:bottom w:type="dxa" w:w="70"/>
              <w:right w:type="dxa" w:w="110"/>
            </w:tcMar>
            <w:vAlign w:val="center"/>
          </w:tcPr>
          <w:p>
            <w:pPr>
              <w:spacing w:after="0"/>
            </w:pPr>
            <w:r>
              <w:rPr>
                <w:b w:val="false"/>
                <w:bCs w:val="false"/>
                <w:sz w:val="19"/>
                <w:szCs w:val="19"/>
              </w:rPr>
              <w:t xml:space="preserve">2.1</w:t>
            </w:r>
          </w:p>
        </w:tc>
      </w:tr>
      <w:tr>
        <w:trPr>
          <w:cantSplit/>
        </w:trPr>
        <w:tc>
          <w:tcPr>
            <w:tcW w:type="dxa" w:w="2400"/>
            <w:shd w:fill="F2F2F2" w:val="clear"/>
            <w:tcMar>
              <w:top w:type="dxa" w:w="70"/>
              <w:left w:type="dxa" w:w="110"/>
              <w:bottom w:type="dxa" w:w="70"/>
              <w:right w:type="dxa" w:w="110"/>
            </w:tcMar>
            <w:vAlign w:val="center"/>
          </w:tcPr>
          <w:p>
            <w:pPr>
              <w:spacing w:after="0"/>
            </w:pPr>
            <w:r>
              <w:rPr>
                <w:b/>
                <w:bCs/>
                <w:sz w:val="19"/>
                <w:szCs w:val="19"/>
              </w:rPr>
              <w:t xml:space="preserve">Data</w:t>
            </w:r>
          </w:p>
        </w:tc>
        <w:tc>
          <w:tcPr>
            <w:tcW w:type="dxa" w:w="7200"/>
            <w:shd w:fill="F2F2F2" w:val="clear"/>
            <w:tcMar>
              <w:top w:type="dxa" w:w="70"/>
              <w:left w:type="dxa" w:w="110"/>
              <w:bottom w:type="dxa" w:w="70"/>
              <w:right w:type="dxa" w:w="110"/>
            </w:tcMar>
            <w:vAlign w:val="center"/>
          </w:tcPr>
          <w:p>
            <w:pPr>
              <w:spacing w:after="0"/>
            </w:pPr>
            <w:r>
              <w:rPr>
                <w:b w:val="false"/>
                <w:bCs w:val="false"/>
                <w:sz w:val="19"/>
                <w:szCs w:val="19"/>
              </w:rPr>
              <w:t xml:space="preserve">20 de outubro de 2026</w:t>
            </w:r>
          </w:p>
        </w:tc>
      </w:tr>
      <w:tr>
        <w:trPr>
          <w:cantSplit/>
        </w:trPr>
        <w:tc>
          <w:tcPr>
            <w:tcW w:type="dxa" w:w="2400"/>
            <w:shd w:fill="FFFFFF" w:val="clear"/>
            <w:tcMar>
              <w:top w:type="dxa" w:w="70"/>
              <w:left w:type="dxa" w:w="110"/>
              <w:bottom w:type="dxa" w:w="70"/>
              <w:right w:type="dxa" w:w="110"/>
            </w:tcMar>
            <w:vAlign w:val="center"/>
          </w:tcPr>
          <w:p>
            <w:pPr>
              <w:spacing w:after="0"/>
            </w:pPr>
            <w:r>
              <w:rPr>
                <w:b/>
                <w:bCs/>
                <w:sz w:val="19"/>
                <w:szCs w:val="19"/>
              </w:rPr>
              <w:t xml:space="preserve">Situação</w:t>
            </w:r>
          </w:p>
        </w:tc>
        <w:tc>
          <w:tcPr>
            <w:tcW w:type="dxa" w:w="7200"/>
            <w:shd w:fill="FFFFFF" w:val="clear"/>
            <w:tcMar>
              <w:top w:type="dxa" w:w="70"/>
              <w:left w:type="dxa" w:w="110"/>
              <w:bottom w:type="dxa" w:w="70"/>
              <w:right w:type="dxa" w:w="110"/>
            </w:tcMar>
            <w:vAlign w:val="center"/>
          </w:tcPr>
          <w:p>
            <w:pPr>
              <w:spacing w:after="0"/>
            </w:pPr>
            <w:r>
              <w:rPr>
                <w:b w:val="false"/>
                <w:bCs w:val="false"/>
                <w:sz w:val="19"/>
                <w:szCs w:val="19"/>
              </w:rPr>
              <w:t xml:space="preserve">Atualizado com o comportamento real das fontes da Fase 1, as da aba Eleições e as de referência de mercado (seção 2.8)</w:t>
            </w:r>
          </w:p>
        </w:tc>
      </w:tr>
    </w:tbl>
    <w:p>
      <w:pPr>
        <w:spacing w:after="300"/>
      </w:pPr>
    </w:p>
    <w:p>
      <w:pPr>
        <w:spacing w:after="120"/>
      </w:pPr>
      <w:r>
        <w:rPr>
          <w:b w:val="false"/>
          <w:bCs w:val="false"/>
          <w:i/>
          <w:iCs/>
          <w:color w:val="000000"/>
          <w:sz w:val="18"/>
          <w:szCs w:val="18"/>
        </w:rPr>
        <w:t xml:space="preserve">Este documento integra o pacote de documentação do Projeto Lumen. Valores legais, limites e endpoints citados foram verificados em fontes oficiais em outubro de 2026 e devem ser reconferidos antes da implementação, pois são atualizados periodicamente por decreto.</w:t>
      </w:r>
    </w:p>
    <w:p>
      <w:r>
        <w:br w:type="page"/>
      </w:r>
    </w:p>
    <w:p>
      <w:pPr>
        <w:pStyle w:val="Heading1"/>
        <w:keepNext/>
        <w:keepLines/>
        <w:spacing w:after="160" w:before="380"/>
      </w:pPr>
      <w:bookmarkStart w:name="_Toc1" w:id="1"/>
      <w:r>
        <w:t xml:space="preserve">Sumário</w:t>
      </w:r>
      <w:bookmarkEnd w:id="1"/>
    </w:p>
    <w:p>
      <w:pPr>
        <w:spacing w:after="120"/>
      </w:pPr>
      <w:r>
        <w:rPr>
          <w:b w:val="false"/>
          <w:bCs w:val="false"/>
          <w:i/>
          <w:iCs/>
          <w:color w:val="000000"/>
          <w:sz w:val="18"/>
          <w:szCs w:val="18"/>
        </w:rPr>
        <w:t xml:space="preserve">Para preencher o sumário, selecione todo o documento (Ctrl+A) e atualize os campos (F9). No Word, também é possível clicar com o botão direito sobre o sumário e escolher Atualizar campo.</w:t>
      </w:r>
    </w:p>
    <w:sdt>
      <w:sdtPr>
        <w:alias w:val="Sumário"/>
      </w:sdtPr>
      <w:sdtContent>
        <w:p>
          <w:pPr>
            <w:pStyle w:val="TOC1"/>
            <w:tabs>
              <w:tab w:val="right" w:pos="9638" w:leader="dot"/>
            </w:tabs>
          </w:pPr>
          <w:r>
            <w:fldChar w:fldCharType="begin" w:dirty="true"/>
            <w:instrText xml:space="preserve">TOC \h \o "1-3"</w:instrText>
            <w:fldChar w:fldCharType="separate"/>
          </w:r>
          <w:hyperlink w:history="1" w:anchor="_Toc1">
            <w:r>
              <w:t xml:space="preserve">Sumário</w:t>
            </w:r>
            <w:r>
              <w:tab/>
            </w:r>
            <w:r>
              <w:fldChar w:fldCharType="begin" w:dirty="true"/>
              <w:instrText xml:space="preserve">PAGEREF _Toc1 \h</w:instrText>
              <w:fldChar w:fldCharType="separate"/>
              <w:fldChar w:fldCharType="end"/>
            </w:r>
          </w:hyperlink>
        </w:p>
        <w:p>
          <w:pPr>
            <w:pStyle w:val="TOC1"/>
            <w:tabs>
              <w:tab w:val="right" w:pos="9638" w:leader="dot"/>
            </w:tabs>
          </w:pPr>
          <w:hyperlink w:history="1" w:anchor="_Toc2">
            <w:r>
              <w:t xml:space="preserve">1. Estratégia de cobertura</w:t>
            </w:r>
            <w:r>
              <w:tab/>
            </w:r>
            <w:r>
              <w:fldChar w:fldCharType="begin" w:dirty="true"/>
              <w:instrText xml:space="preserve">PAGEREF _Toc2 \h</w:instrText>
              <w:fldChar w:fldCharType="separate"/>
              <w:fldChar w:fldCharType="end"/>
            </w:r>
          </w:hyperlink>
        </w:p>
        <w:p>
          <w:pPr>
            <w:pStyle w:val="TOC1"/>
            <w:tabs>
              <w:tab w:val="right" w:pos="9638" w:leader="dot"/>
            </w:tabs>
          </w:pPr>
          <w:hyperlink w:history="1" w:anchor="_Toc3">
            <w:r>
              <w:t xml:space="preserve">2. Camada 1 — Fontes federais estruturadas</w:t>
            </w:r>
            <w:r>
              <w:tab/>
            </w:r>
            <w:r>
              <w:fldChar w:fldCharType="begin" w:dirty="true"/>
              <w:instrText xml:space="preserve">PAGEREF _Toc3 \h</w:instrText>
              <w:fldChar w:fldCharType="separate"/>
              <w:fldChar w:fldCharType="end"/>
            </w:r>
          </w:hyperlink>
        </w:p>
        <w:p>
          <w:pPr>
            <w:pStyle w:val="TOC2"/>
            <w:tabs>
              <w:tab w:val="right" w:pos="9638" w:leader="dot"/>
            </w:tabs>
            <w:ind w:left="220"/>
          </w:pPr>
          <w:hyperlink w:history="1" w:anchor="_Toc4">
            <w:r>
              <w:t xml:space="preserve">2.1 PNCP — Portal Nacional de Contratações Públicas</w:t>
            </w:r>
            <w:r>
              <w:tab/>
            </w:r>
            <w:r>
              <w:fldChar w:fldCharType="begin" w:dirty="true"/>
              <w:instrText xml:space="preserve">PAGEREF _Toc4 \h</w:instrText>
              <w:fldChar w:fldCharType="separate"/>
              <w:fldChar w:fldCharType="end"/>
            </w:r>
          </w:hyperlink>
        </w:p>
        <w:p>
          <w:pPr>
            <w:pStyle w:val="TOC3"/>
            <w:tabs>
              <w:tab w:val="right" w:pos="9638" w:leader="dot"/>
            </w:tabs>
            <w:ind w:left="440"/>
          </w:pPr>
          <w:hyperlink w:history="1" w:anchor="_Toc5">
            <w:r>
              <w:t xml:space="preserve">Recursos relevantes</w:t>
            </w:r>
            <w:r>
              <w:tab/>
            </w:r>
            <w:r>
              <w:fldChar w:fldCharType="begin" w:dirty="true"/>
              <w:instrText xml:space="preserve">PAGEREF _Toc5 \h</w:instrText>
              <w:fldChar w:fldCharType="separate"/>
              <w:fldChar w:fldCharType="end"/>
            </w:r>
          </w:hyperlink>
        </w:p>
        <w:p>
          <w:pPr>
            <w:pStyle w:val="TOC3"/>
            <w:tabs>
              <w:tab w:val="right" w:pos="9638" w:leader="dot"/>
            </w:tabs>
            <w:ind w:left="440"/>
          </w:pPr>
          <w:hyperlink w:history="1" w:anchor="_Toc6">
            <w:r>
              <w:t xml:space="preserve">Comportamento real observado (outubro de 2026)</w:t>
            </w:r>
            <w:r>
              <w:tab/>
            </w:r>
            <w:r>
              <w:fldChar w:fldCharType="begin" w:dirty="true"/>
              <w:instrText xml:space="preserve">PAGEREF _Toc6 \h</w:instrText>
              <w:fldChar w:fldCharType="separate"/>
              <w:fldChar w:fldCharType="end"/>
            </w:r>
          </w:hyperlink>
        </w:p>
        <w:p>
          <w:pPr>
            <w:pStyle w:val="TOC2"/>
            <w:tabs>
              <w:tab w:val="right" w:pos="9638" w:leader="dot"/>
            </w:tabs>
            <w:ind w:left="220"/>
          </w:pPr>
          <w:hyperlink w:history="1" w:anchor="_Toc7">
            <w:r>
              <w:t xml:space="preserve">2.2 SICONFI — Tesouro Nacional</w:t>
            </w:r>
            <w:r>
              <w:tab/>
            </w:r>
            <w:r>
              <w:fldChar w:fldCharType="begin" w:dirty="true"/>
              <w:instrText xml:space="preserve">PAGEREF _Toc7 \h</w:instrText>
              <w:fldChar w:fldCharType="separate"/>
              <w:fldChar w:fldCharType="end"/>
            </w:r>
          </w:hyperlink>
        </w:p>
        <w:p>
          <w:pPr>
            <w:pStyle w:val="TOC3"/>
            <w:tabs>
              <w:tab w:val="right" w:pos="9638" w:leader="dot"/>
            </w:tabs>
            <w:ind w:left="440"/>
          </w:pPr>
          <w:hyperlink w:history="1" w:anchor="_Toc8">
            <w:r>
              <w:t xml:space="preserve">Comportamento real observado (outubro de 2026)</w:t>
            </w:r>
            <w:r>
              <w:tab/>
            </w:r>
            <w:r>
              <w:fldChar w:fldCharType="begin" w:dirty="true"/>
              <w:instrText xml:space="preserve">PAGEREF _Toc8 \h</w:instrText>
              <w:fldChar w:fldCharType="separate"/>
              <w:fldChar w:fldCharType="end"/>
            </w:r>
          </w:hyperlink>
        </w:p>
        <w:p>
          <w:pPr>
            <w:pStyle w:val="TOC2"/>
            <w:tabs>
              <w:tab w:val="right" w:pos="9638" w:leader="dot"/>
            </w:tabs>
            <w:ind w:left="220"/>
          </w:pPr>
          <w:hyperlink w:history="1" w:anchor="_Toc9">
            <w:r>
              <w:t xml:space="preserve">2.3 Portal da Transparência — CGU</w:t>
            </w:r>
            <w:r>
              <w:tab/>
            </w:r>
            <w:r>
              <w:fldChar w:fldCharType="begin" w:dirty="true"/>
              <w:instrText xml:space="preserve">PAGEREF _Toc9 \h</w:instrText>
              <w:fldChar w:fldCharType="separate"/>
              <w:fldChar w:fldCharType="end"/>
            </w:r>
          </w:hyperlink>
        </w:p>
        <w:p>
          <w:pPr>
            <w:pStyle w:val="TOC2"/>
            <w:tabs>
              <w:tab w:val="right" w:pos="9638" w:leader="dot"/>
            </w:tabs>
            <w:ind w:left="220"/>
          </w:pPr>
          <w:hyperlink w:history="1" w:anchor="_Toc10">
            <w:r>
              <w:t xml:space="preserve">2.4 Receita Federal — base pública de CNPJ</w:t>
            </w:r>
            <w:r>
              <w:tab/>
            </w:r>
            <w:r>
              <w:fldChar w:fldCharType="begin" w:dirty="true"/>
              <w:instrText xml:space="preserve">PAGEREF _Toc10 \h</w:instrText>
              <w:fldChar w:fldCharType="separate"/>
              <w:fldChar w:fldCharType="end"/>
            </w:r>
          </w:hyperlink>
        </w:p>
        <w:p>
          <w:pPr>
            <w:pStyle w:val="TOC2"/>
            <w:tabs>
              <w:tab w:val="right" w:pos="9638" w:leader="dot"/>
            </w:tabs>
            <w:ind w:left="220"/>
          </w:pPr>
          <w:hyperlink w:history="1" w:anchor="_Toc11">
            <w:r>
              <w:t xml:space="preserve">2.5 Demais fontes federais</w:t>
            </w:r>
            <w:r>
              <w:tab/>
            </w:r>
            <w:r>
              <w:fldChar w:fldCharType="begin" w:dirty="true"/>
              <w:instrText xml:space="preserve">PAGEREF _Toc11 \h</w:instrText>
              <w:fldChar w:fldCharType="separate"/>
              <w:fldChar w:fldCharType="end"/>
            </w:r>
          </w:hyperlink>
        </w:p>
        <w:p>
          <w:pPr>
            <w:pStyle w:val="TOC2"/>
            <w:tabs>
              <w:tab w:val="right" w:pos="9638" w:leader="dot"/>
            </w:tabs>
            <w:ind w:left="220"/>
          </w:pPr>
          <w:hyperlink w:history="1" w:anchor="_Toc12">
            <w:r>
              <w:t xml:space="preserve">2.6 TSE — resultados eleitorais (aba Eleições)</w:t>
            </w:r>
            <w:r>
              <w:tab/>
            </w:r>
            <w:r>
              <w:fldChar w:fldCharType="begin" w:dirty="true"/>
              <w:instrText xml:space="preserve">PAGEREF _Toc12 \h</w:instrText>
              <w:fldChar w:fldCharType="separate"/>
              <w:fldChar w:fldCharType="end"/>
            </w:r>
          </w:hyperlink>
        </w:p>
        <w:p>
          <w:pPr>
            <w:pStyle w:val="TOC2"/>
            <w:tabs>
              <w:tab w:val="right" w:pos="9638" w:leader="dot"/>
            </w:tabs>
            <w:ind w:left="220"/>
          </w:pPr>
          <w:hyperlink w:history="1" w:anchor="_Toc13">
            <w:r>
              <w:t xml:space="preserve">2.7 IBGE — localidades, população e malhas</w:t>
            </w:r>
            <w:r>
              <w:tab/>
            </w:r>
            <w:r>
              <w:fldChar w:fldCharType="begin" w:dirty="true"/>
              <w:instrText xml:space="preserve">PAGEREF _Toc13 \h</w:instrText>
              <w:fldChar w:fldCharType="separate"/>
              <w:fldChar w:fldCharType="end"/>
            </w:r>
          </w:hyperlink>
        </w:p>
        <w:p>
          <w:pPr>
            <w:pStyle w:val="TOC2"/>
            <w:tabs>
              <w:tab w:val="right" w:pos="9638" w:leader="dot"/>
            </w:tabs>
            <w:ind w:left="220"/>
          </w:pPr>
          <w:hyperlink w:history="1" w:anchor="_Toc14">
            <w:r>
              <w:t xml:space="preserve">2.8 Referência de mercado de fora do governo (regra A-05)</w:t>
            </w:r>
            <w:r>
              <w:tab/>
            </w:r>
            <w:r>
              <w:fldChar w:fldCharType="begin" w:dirty="true"/>
              <w:instrText xml:space="preserve">PAGEREF _Toc14 \h</w:instrText>
              <w:fldChar w:fldCharType="separate"/>
              <w:fldChar w:fldCharType="end"/>
            </w:r>
          </w:hyperlink>
        </w:p>
        <w:p>
          <w:pPr>
            <w:pStyle w:val="TOC1"/>
            <w:tabs>
              <w:tab w:val="right" w:pos="9638" w:leader="dot"/>
            </w:tabs>
          </w:pPr>
          <w:hyperlink w:history="1" w:anchor="_Toc15">
            <w:r>
              <w:t xml:space="preserve">3. Camada 2 — Estados e tribunais de contas</w:t>
            </w:r>
            <w:r>
              <w:tab/>
            </w:r>
            <w:r>
              <w:fldChar w:fldCharType="begin" w:dirty="true"/>
              <w:instrText xml:space="preserve">PAGEREF _Toc15 \h</w:instrText>
              <w:fldChar w:fldCharType="separate"/>
              <w:fldChar w:fldCharType="end"/>
            </w:r>
          </w:hyperlink>
        </w:p>
        <w:p>
          <w:pPr>
            <w:pStyle w:val="TOC1"/>
            <w:tabs>
              <w:tab w:val="right" w:pos="9638" w:leader="dot"/>
            </w:tabs>
          </w:pPr>
          <w:hyperlink w:history="1" w:anchor="_Toc16">
            <w:r>
              <w:t xml:space="preserve">4. Camada 3 — Municípios</w:t>
            </w:r>
            <w:r>
              <w:tab/>
            </w:r>
            <w:r>
              <w:fldChar w:fldCharType="begin" w:dirty="true"/>
              <w:instrText xml:space="preserve">PAGEREF _Toc16 \h</w:instrText>
              <w:fldChar w:fldCharType="separate"/>
              <w:fldChar w:fldCharType="end"/>
            </w:r>
          </w:hyperlink>
        </w:p>
        <w:p>
          <w:pPr>
            <w:pStyle w:val="TOC2"/>
            <w:tabs>
              <w:tab w:val="right" w:pos="9638" w:leader="dot"/>
            </w:tabs>
            <w:ind w:left="220"/>
          </w:pPr>
          <w:hyperlink w:history="1" w:anchor="_Toc17">
            <w:r>
              <w:t xml:space="preserve">4.1 Abordagem por família de plataforma</w:t>
            </w:r>
            <w:r>
              <w:tab/>
            </w:r>
            <w:r>
              <w:fldChar w:fldCharType="begin" w:dirty="true"/>
              <w:instrText xml:space="preserve">PAGEREF _Toc17 \h</w:instrText>
              <w:fldChar w:fldCharType="separate"/>
              <w:fldChar w:fldCharType="end"/>
            </w:r>
          </w:hyperlink>
        </w:p>
        <w:p>
          <w:pPr>
            <w:pStyle w:val="TOC2"/>
            <w:tabs>
              <w:tab w:val="right" w:pos="9638" w:leader="dot"/>
            </w:tabs>
            <w:ind w:left="220"/>
          </w:pPr>
          <w:hyperlink w:history="1" w:anchor="_Toc18">
            <w:r>
              <w:t xml:space="preserve">4.2 Cauda longa</w:t>
            </w:r>
            <w:r>
              <w:tab/>
            </w:r>
            <w:r>
              <w:fldChar w:fldCharType="begin" w:dirty="true"/>
              <w:instrText xml:space="preserve">PAGEREF _Toc18 \h</w:instrText>
              <w:fldChar w:fldCharType="separate"/>
              <w:fldChar w:fldCharType="end"/>
            </w:r>
          </w:hyperlink>
        </w:p>
        <w:p>
          <w:pPr>
            <w:pStyle w:val="TOC2"/>
            <w:tabs>
              <w:tab w:val="right" w:pos="9638" w:leader="dot"/>
            </w:tabs>
            <w:ind w:left="220"/>
          </w:pPr>
          <w:hyperlink w:history="1" w:anchor="_Toc19">
            <w:r>
              <w:t xml:space="preserve">4.3 Especificação declarativa de fonte</w:t>
            </w:r>
            <w:r>
              <w:tab/>
            </w:r>
            <w:r>
              <w:fldChar w:fldCharType="begin" w:dirty="true"/>
              <w:instrText xml:space="preserve">PAGEREF _Toc19 \h</w:instrText>
              <w:fldChar w:fldCharType="separate"/>
              <w:fldChar w:fldCharType="end"/>
            </w:r>
          </w:hyperlink>
        </w:p>
        <w:p>
          <w:pPr>
            <w:pStyle w:val="TOC1"/>
            <w:tabs>
              <w:tab w:val="right" w:pos="9638" w:leader="dot"/>
            </w:tabs>
          </w:pPr>
          <w:hyperlink w:history="1" w:anchor="_Toc20">
            <w:r>
              <w:t xml:space="preserve">5. Política de coleta responsável</w:t>
            </w:r>
            <w:r>
              <w:tab/>
            </w:r>
            <w:r>
              <w:fldChar w:fldCharType="begin" w:dirty="true"/>
              <w:instrText xml:space="preserve">PAGEREF _Toc20 \h</w:instrText>
              <w:fldChar w:fldCharType="separate"/>
              <w:fldChar w:fldCharType="end"/>
            </w:r>
          </w:hyperlink>
        </w:p>
        <w:p>
          <w:pPr>
            <w:pStyle w:val="TOC1"/>
            <w:tabs>
              <w:tab w:val="right" w:pos="9638" w:leader="dot"/>
            </w:tabs>
          </w:pPr>
          <w:hyperlink w:history="1" w:anchor="_Toc21">
            <w:r>
              <w:t xml:space="preserve">6. Matriz de cobertura esperada por fase</w:t>
            </w:r>
            <w:r>
              <w:tab/>
            </w:r>
            <w:r>
              <w:fldChar w:fldCharType="begin" w:dirty="true"/>
              <w:instrText xml:space="preserve">PAGEREF _Toc21 \h</w:instrText>
              <w:fldChar w:fldCharType="separate"/>
              <w:fldChar w:fldCharType="end"/>
            </w:r>
          </w:hyperlink>
        </w:p>
        <w:p>
          <w:pPr>
            <w:pStyle w:val="TOC1"/>
            <w:tabs>
              <w:tab w:val="right" w:pos="9638" w:leader="dot"/>
            </w:tabs>
          </w:pPr>
          <w:hyperlink w:history="1" w:anchor="_Toc22">
            <w:r>
              <w:t xml:space="preserve">7. Situação da integração (outubro de 2026)</w:t>
            </w:r>
            <w:r>
              <w:tab/>
            </w:r>
            <w:r>
              <w:fldChar w:fldCharType="begin" w:dirty="true"/>
              <w:instrText xml:space="preserve">PAGEREF _Toc22 \h</w:instrText>
              <w:fldChar w:fldCharType="separate"/>
              <w:fldChar w:fldCharType="end"/>
            </w:r>
          </w:hyperlink>
        </w:p>
        <w:p>
          <w:pPr>
            <w:pStyle w:val="TOC1"/>
            <w:tabs>
              <w:tab w:val="right" w:pos="9638" w:leader="dot"/>
            </w:tabs>
          </w:pPr>
          <w:hyperlink w:history="1" w:anchor="_Toc23">
            <w:r>
              <w:t xml:space="preserve">8. Registro de fontes</w:t>
            </w:r>
            <w:r>
              <w:tab/>
            </w:r>
            <w:r>
              <w:fldChar w:fldCharType="begin" w:dirty="true"/>
              <w:instrText xml:space="preserve">PAGEREF _Toc23 \h</w:instrText>
              <w:fldChar w:fldCharType="separate"/>
              <w:fldChar w:fldCharType="end"/>
            </w:r>
          </w:hyperlink>
        </w:p>
        <w:p>
          <w:r>
            <w:fldChar w:fldCharType="end"/>
          </w:r>
        </w:p>
      </w:sdtContent>
    </w:sdt>
    <w:p>
      <w:r>
        <w:br w:type="page"/>
      </w:r>
    </w:p>
    <w:p>
      <w:pPr>
        <w:pStyle w:val="Heading1"/>
        <w:keepNext/>
        <w:keepLines/>
        <w:spacing w:after="160" w:before="380"/>
      </w:pPr>
      <w:bookmarkStart w:name="_Toc2" w:id="2"/>
      <w:r>
        <w:t xml:space="preserve">1. Estratégia de cobertura</w:t>
      </w:r>
      <w:bookmarkEnd w:id="2"/>
    </w:p>
    <w:p>
      <w:pPr>
        <w:spacing w:after="120"/>
      </w:pPr>
      <w:r>
        <w:rPr>
          <w:b w:val="false"/>
          <w:bCs w:val="false"/>
          <w:i w:val="false"/>
          <w:iCs w:val="false"/>
        </w:rPr>
        <w:t xml:space="preserve">A pergunta central deste documento é: como cobrir mais de seis mil entes sem construir mais de seis mil integrações. A resposta tem três movimentos, executados nessa ordem.</w:t>
      </w:r>
    </w:p>
    <w:p>
      <w:pPr>
        <w:pStyle w:val="ListParagraph"/>
        <w:numPr>
          <w:ilvl w:val="0"/>
          <w:numId w:val="2"/>
        </w:numPr>
        <w:spacing w:after="70"/>
      </w:pPr>
      <w:r>
        <w:t xml:space="preserve">Integrar as bases federais de envio obrigatório. Como a lei obriga estados e municípios a enviarem seus dados a sistemas federais centralizados, uma única integração entrega dados de milhares de entes. Este é o movimento que viabiliza o projeto.</w:t>
      </w:r>
    </w:p>
    <w:p>
      <w:pPr>
        <w:pStyle w:val="ListParagraph"/>
        <w:numPr>
          <w:ilvl w:val="0"/>
          <w:numId w:val="2"/>
        </w:numPr>
        <w:spacing w:after="70"/>
      </w:pPr>
      <w:r>
        <w:t xml:space="preserve">Integrar por família de plataforma. A maior parte dos municípios não desenvolve seu portal de transparência: contrata de um número reduzido de fornecedores de software. Um conector por família de plataforma cobre dezenas ou centenas de municípios de uma vez.</w:t>
      </w:r>
    </w:p>
    <w:p>
      <w:pPr>
        <w:pStyle w:val="ListParagraph"/>
        <w:numPr>
          <w:ilvl w:val="0"/>
          <w:numId w:val="2"/>
        </w:numPr>
        <w:spacing w:after="70"/>
      </w:pPr>
      <w:r>
        <w:t xml:space="preserve">Tratar a cauda longa com extração de documentos e mapeamento assistido. Só o que restar depois dos dois movimentos anteriores recebe tratamento individual.</w:t>
      </w:r>
    </w:p>
    <w:tbl>
      <w:tblPr>
        <w:tblW w:type="dxa" w:w="9600"/>
        <w:tblBorders>
          <w:top w:val="single" w:color="548235" w:sz="6"/>
          <w:left w:val="single" w:color="548235" w:sz="18"/>
          <w:bottom w:val="single" w:color="548235" w:sz="6"/>
          <w:right w:val="single" w:color="548235" w:sz="6"/>
          <w:insideH w:val="none" w:color="FFFFFF" w:sz="0"/>
          <w:insideV w:val="none" w:color="FFFFFF" w:sz="0"/>
        </w:tblBorders>
      </w:tblPr>
      <w:tblGrid>
        <w:gridCol w:w="9600"/>
      </w:tblGrid>
      <w:tr>
        <w:trPr>
          <w:cantSplit/>
        </w:trPr>
        <w:tc>
          <w:tcPr>
            <w:tcW w:type="dxa" w:w="9600"/>
            <w:shd w:fill="EAF3E3" w:val="clear"/>
            <w:tcMar>
              <w:top w:type="dxa" w:w="130"/>
              <w:left w:type="dxa" w:w="170"/>
              <w:bottom w:type="dxa" w:w="130"/>
              <w:right w:type="dxa" w:w="150"/>
            </w:tcMar>
          </w:tcPr>
          <w:p>
            <w:pPr>
              <w:spacing w:after="90"/>
            </w:pPr>
            <w:r>
              <w:rPr>
                <w:b/>
                <w:bCs/>
                <w:color w:val="000000"/>
              </w:rPr>
              <w:t xml:space="preserve">A constatação que muda a ordem de grandeza do projeto</w:t>
            </w:r>
          </w:p>
          <w:p>
            <w:pPr>
              <w:spacing w:after="70"/>
            </w:pPr>
            <w:r>
              <w:t xml:space="preserve">O PNCP, criado pela Lei 14.133/2021, centraliza as contratações de todos os entes federativos e expõe API pública. O SICONFI, do Tesouro Nacional, concentra os relatórios contábeis e fiscais de estados e municípios, com API aberta e sem exigência de cadastro.</w:t>
            </w:r>
          </w:p>
          <w:p>
            <w:pPr>
              <w:spacing w:after="70"/>
            </w:pPr>
            <w:r>
              <w:t xml:space="preserve">Juntas, essas duas fontes dão alcance nacional na primeira fase do projeto. A raspagem municipal, que a intuição colocaria como tarefa principal, é na verdade um complemento para preencher lacunas e obter detalhe que as bases federais não trazem.</w:t>
            </w:r>
          </w:p>
        </w:tc>
      </w:tr>
    </w:tbl>
    <w:p>
      <w:r>
        <w:br w:type="page"/>
      </w:r>
    </w:p>
    <w:p>
      <w:pPr>
        <w:pStyle w:val="Heading1"/>
        <w:keepNext/>
        <w:keepLines/>
        <w:spacing w:after="160" w:before="380"/>
      </w:pPr>
      <w:bookmarkStart w:name="_Toc3" w:id="3"/>
      <w:r>
        <w:t xml:space="preserve">2. Camada 1 — Fontes federais estruturadas</w:t>
      </w:r>
      <w:bookmarkEnd w:id="3"/>
    </w:p>
    <w:p>
      <w:pPr>
        <w:pStyle w:val="Heading2"/>
        <w:keepNext/>
        <w:keepLines/>
        <w:spacing w:after="120" w:before="280"/>
      </w:pPr>
      <w:bookmarkStart w:name="_Toc4" w:id="4"/>
      <w:r>
        <w:t xml:space="preserve">2.1 PNCP — Portal Nacional de Contratações Públicas</w:t>
      </w:r>
      <w:bookmarkEnd w:id="4"/>
    </w:p>
    <w:tbl>
      <w:tblPr>
        <w:tblW w:type="dxa" w:w="9600"/>
        <w:tblBorders>
          <w:top w:val="single" w:color="BFBFBF" w:sz="4"/>
          <w:left w:val="single" w:color="BFBFBF" w:sz="4"/>
          <w:bottom w:val="single" w:color="BFBFBF" w:sz="4"/>
          <w:right w:val="single" w:color="BFBFBF" w:sz="4"/>
          <w:insideH w:val="single" w:color="D9D9D9" w:sz="2"/>
          <w:insideV w:val="single" w:color="D9D9D9" w:sz="2"/>
        </w:tblBorders>
      </w:tblPr>
      <w:tblGrid>
        <w:gridCol w:w="2200"/>
        <w:gridCol w:w="7400"/>
      </w:tblGrid>
      <w:tr>
        <w:trPr>
          <w:cantSplit/>
        </w:trPr>
        <w:tc>
          <w:tcPr>
            <w:tcW w:type="dxa" w:w="2200"/>
            <w:shd w:fill="FFFFFF" w:val="clear"/>
            <w:tcMar>
              <w:top w:type="dxa" w:w="70"/>
              <w:left w:type="dxa" w:w="110"/>
              <w:bottom w:type="dxa" w:w="70"/>
              <w:right w:type="dxa" w:w="110"/>
            </w:tcMar>
            <w:vAlign w:val="center"/>
          </w:tcPr>
          <w:p>
            <w:pPr>
              <w:spacing w:after="0"/>
            </w:pPr>
            <w:r>
              <w:rPr>
                <w:b/>
                <w:bCs/>
                <w:sz w:val="19"/>
                <w:szCs w:val="19"/>
              </w:rPr>
              <w:t xml:space="preserve">Operador</w:t>
            </w:r>
          </w:p>
        </w:tc>
        <w:tc>
          <w:tcPr>
            <w:tcW w:type="dxa" w:w="7400"/>
            <w:shd w:fill="FFFFFF" w:val="clear"/>
            <w:tcMar>
              <w:top w:type="dxa" w:w="70"/>
              <w:left w:type="dxa" w:w="110"/>
              <w:bottom w:type="dxa" w:w="70"/>
              <w:right w:type="dxa" w:w="110"/>
            </w:tcMar>
            <w:vAlign w:val="center"/>
          </w:tcPr>
          <w:p>
            <w:pPr>
              <w:spacing w:after="0"/>
            </w:pPr>
            <w:r>
              <w:rPr>
                <w:b w:val="false"/>
                <w:bCs w:val="false"/>
                <w:sz w:val="19"/>
                <w:szCs w:val="19"/>
              </w:rPr>
              <w:t xml:space="preserve">Serpro, sob a Lei 14.133/2021</w:t>
            </w:r>
          </w:p>
        </w:tc>
      </w:tr>
      <w:tr>
        <w:trPr>
          <w:cantSplit/>
        </w:trPr>
        <w:tc>
          <w:tcPr>
            <w:tcW w:type="dxa" w:w="2200"/>
            <w:shd w:fill="F2F2F2" w:val="clear"/>
            <w:tcMar>
              <w:top w:type="dxa" w:w="70"/>
              <w:left w:type="dxa" w:w="110"/>
              <w:bottom w:type="dxa" w:w="70"/>
              <w:right w:type="dxa" w:w="110"/>
            </w:tcMar>
            <w:vAlign w:val="center"/>
          </w:tcPr>
          <w:p>
            <w:pPr>
              <w:spacing w:after="0"/>
            </w:pPr>
            <w:r>
              <w:rPr>
                <w:b/>
                <w:bCs/>
                <w:sz w:val="19"/>
                <w:szCs w:val="19"/>
              </w:rPr>
              <w:t xml:space="preserve">Endpoint de consulta</w:t>
            </w:r>
          </w:p>
        </w:tc>
        <w:tc>
          <w:tcPr>
            <w:tcW w:type="dxa" w:w="7400"/>
            <w:shd w:fill="F2F2F2" w:val="clear"/>
            <w:tcMar>
              <w:top w:type="dxa" w:w="70"/>
              <w:left w:type="dxa" w:w="110"/>
              <w:bottom w:type="dxa" w:w="70"/>
              <w:right w:type="dxa" w:w="110"/>
            </w:tcMar>
            <w:vAlign w:val="center"/>
          </w:tcPr>
          <w:p>
            <w:pPr>
              <w:spacing w:after="0"/>
            </w:pPr>
            <w:r>
              <w:rPr>
                <w:b w:val="false"/>
                <w:bCs w:val="false"/>
                <w:sz w:val="19"/>
                <w:szCs w:val="19"/>
              </w:rPr>
              <w:t xml:space="preserve">https://pncp.gov.br/api/consulta</w:t>
            </w:r>
          </w:p>
        </w:tc>
      </w:tr>
      <w:tr>
        <w:trPr>
          <w:cantSplit/>
        </w:trPr>
        <w:tc>
          <w:tcPr>
            <w:tcW w:type="dxa" w:w="2200"/>
            <w:shd w:fill="FFFFFF" w:val="clear"/>
            <w:tcMar>
              <w:top w:type="dxa" w:w="70"/>
              <w:left w:type="dxa" w:w="110"/>
              <w:bottom w:type="dxa" w:w="70"/>
              <w:right w:type="dxa" w:w="110"/>
            </w:tcMar>
            <w:vAlign w:val="center"/>
          </w:tcPr>
          <w:p>
            <w:pPr>
              <w:spacing w:after="0"/>
            </w:pPr>
            <w:r>
              <w:rPr>
                <w:b/>
                <w:bCs/>
                <w:sz w:val="19"/>
                <w:szCs w:val="19"/>
              </w:rPr>
              <w:t xml:space="preserve">Documentação</w:t>
            </w:r>
          </w:p>
        </w:tc>
        <w:tc>
          <w:tcPr>
            <w:tcW w:type="dxa" w:w="7400"/>
            <w:shd w:fill="FFFFFF" w:val="clear"/>
            <w:tcMar>
              <w:top w:type="dxa" w:w="70"/>
              <w:left w:type="dxa" w:w="110"/>
              <w:bottom w:type="dxa" w:w="70"/>
              <w:right w:type="dxa" w:w="110"/>
            </w:tcMar>
            <w:vAlign w:val="center"/>
          </w:tcPr>
          <w:p>
            <w:pPr>
              <w:spacing w:after="0"/>
            </w:pPr>
            <w:r>
              <w:rPr>
                <w:b w:val="false"/>
                <w:bCs w:val="false"/>
                <w:sz w:val="19"/>
                <w:szCs w:val="19"/>
              </w:rPr>
              <w:t xml:space="preserve">Swagger público em /api/consulta/swagger-ui/index.html</w:t>
            </w:r>
          </w:p>
        </w:tc>
      </w:tr>
      <w:tr>
        <w:trPr>
          <w:cantSplit/>
        </w:trPr>
        <w:tc>
          <w:tcPr>
            <w:tcW w:type="dxa" w:w="2200"/>
            <w:shd w:fill="F2F2F2" w:val="clear"/>
            <w:tcMar>
              <w:top w:type="dxa" w:w="70"/>
              <w:left w:type="dxa" w:w="110"/>
              <w:bottom w:type="dxa" w:w="70"/>
              <w:right w:type="dxa" w:w="110"/>
            </w:tcMar>
            <w:vAlign w:val="center"/>
          </w:tcPr>
          <w:p>
            <w:pPr>
              <w:spacing w:after="0"/>
            </w:pPr>
            <w:r>
              <w:rPr>
                <w:b/>
                <w:bCs/>
                <w:sz w:val="19"/>
                <w:szCs w:val="19"/>
              </w:rPr>
              <w:t xml:space="preserve">Autenticação</w:t>
            </w:r>
          </w:p>
        </w:tc>
        <w:tc>
          <w:tcPr>
            <w:tcW w:type="dxa" w:w="7400"/>
            <w:shd w:fill="F2F2F2" w:val="clear"/>
            <w:tcMar>
              <w:top w:type="dxa" w:w="70"/>
              <w:left w:type="dxa" w:w="110"/>
              <w:bottom w:type="dxa" w:w="70"/>
              <w:right w:type="dxa" w:w="110"/>
            </w:tcMar>
            <w:vAlign w:val="center"/>
          </w:tcPr>
          <w:p>
            <w:pPr>
              <w:spacing w:after="0"/>
            </w:pPr>
            <w:r>
              <w:rPr>
                <w:b w:val="false"/>
                <w:bCs w:val="false"/>
                <w:sz w:val="19"/>
                <w:szCs w:val="19"/>
              </w:rPr>
              <w:t xml:space="preserve">Não exigida para a API de consulta</w:t>
            </w:r>
          </w:p>
        </w:tc>
      </w:tr>
      <w:tr>
        <w:trPr>
          <w:cantSplit/>
        </w:trPr>
        <w:tc>
          <w:tcPr>
            <w:tcW w:type="dxa" w:w="2200"/>
            <w:shd w:fill="FFFFFF" w:val="clear"/>
            <w:tcMar>
              <w:top w:type="dxa" w:w="70"/>
              <w:left w:type="dxa" w:w="110"/>
              <w:bottom w:type="dxa" w:w="70"/>
              <w:right w:type="dxa" w:w="110"/>
            </w:tcMar>
            <w:vAlign w:val="center"/>
          </w:tcPr>
          <w:p>
            <w:pPr>
              <w:spacing w:after="0"/>
            </w:pPr>
            <w:r>
              <w:rPr>
                <w:b/>
                <w:bCs/>
                <w:sz w:val="19"/>
                <w:szCs w:val="19"/>
              </w:rPr>
              <w:t xml:space="preserve">Formato</w:t>
            </w:r>
          </w:p>
        </w:tc>
        <w:tc>
          <w:tcPr>
            <w:tcW w:type="dxa" w:w="7400"/>
            <w:shd w:fill="FFFFFF" w:val="clear"/>
            <w:tcMar>
              <w:top w:type="dxa" w:w="70"/>
              <w:left w:type="dxa" w:w="110"/>
              <w:bottom w:type="dxa" w:w="70"/>
              <w:right w:type="dxa" w:w="110"/>
            </w:tcMar>
            <w:vAlign w:val="center"/>
          </w:tcPr>
          <w:p>
            <w:pPr>
              <w:spacing w:after="0"/>
            </w:pPr>
            <w:r>
              <w:rPr>
                <w:b w:val="false"/>
                <w:bCs w:val="false"/>
                <w:sz w:val="19"/>
                <w:szCs w:val="19"/>
              </w:rPr>
              <w:t xml:space="preserve">JSON</w:t>
            </w:r>
          </w:p>
        </w:tc>
      </w:tr>
      <w:tr>
        <w:trPr>
          <w:cantSplit/>
        </w:trPr>
        <w:tc>
          <w:tcPr>
            <w:tcW w:type="dxa" w:w="2200"/>
            <w:shd w:fill="F2F2F2" w:val="clear"/>
            <w:tcMar>
              <w:top w:type="dxa" w:w="70"/>
              <w:left w:type="dxa" w:w="110"/>
              <w:bottom w:type="dxa" w:w="70"/>
              <w:right w:type="dxa" w:w="110"/>
            </w:tcMar>
            <w:vAlign w:val="center"/>
          </w:tcPr>
          <w:p>
            <w:pPr>
              <w:spacing w:after="0"/>
            </w:pPr>
            <w:r>
              <w:rPr>
                <w:b/>
                <w:bCs/>
                <w:sz w:val="19"/>
                <w:szCs w:val="19"/>
              </w:rPr>
              <w:t xml:space="preserve">Abrangência</w:t>
            </w:r>
          </w:p>
        </w:tc>
        <w:tc>
          <w:tcPr>
            <w:tcW w:type="dxa" w:w="7400"/>
            <w:shd w:fill="F2F2F2" w:val="clear"/>
            <w:tcMar>
              <w:top w:type="dxa" w:w="70"/>
              <w:left w:type="dxa" w:w="110"/>
              <w:bottom w:type="dxa" w:w="70"/>
              <w:right w:type="dxa" w:w="110"/>
            </w:tcMar>
            <w:vAlign w:val="center"/>
          </w:tcPr>
          <w:p>
            <w:pPr>
              <w:spacing w:after="0"/>
            </w:pPr>
            <w:r>
              <w:rPr>
                <w:b w:val="false"/>
                <w:bCs w:val="false"/>
                <w:sz w:val="19"/>
                <w:szCs w:val="19"/>
              </w:rPr>
              <w:t xml:space="preserve">Todos os entes federativos sujeitos à Nova Lei de Licitações</w:t>
            </w:r>
          </w:p>
        </w:tc>
      </w:tr>
      <w:tr>
        <w:trPr>
          <w:cantSplit/>
        </w:trPr>
        <w:tc>
          <w:tcPr>
            <w:tcW w:type="dxa" w:w="2200"/>
            <w:shd w:fill="FFFFFF" w:val="clear"/>
            <w:tcMar>
              <w:top w:type="dxa" w:w="70"/>
              <w:left w:type="dxa" w:w="110"/>
              <w:bottom w:type="dxa" w:w="70"/>
              <w:right w:type="dxa" w:w="110"/>
            </w:tcMar>
            <w:vAlign w:val="center"/>
          </w:tcPr>
          <w:p>
            <w:pPr>
              <w:spacing w:after="0"/>
            </w:pPr>
            <w:r>
              <w:rPr>
                <w:b/>
                <w:bCs/>
                <w:sz w:val="19"/>
                <w:szCs w:val="19"/>
              </w:rPr>
              <w:t xml:space="preserve">Importância</w:t>
            </w:r>
          </w:p>
        </w:tc>
        <w:tc>
          <w:tcPr>
            <w:tcW w:type="dxa" w:w="7400"/>
            <w:shd w:fill="FFFFFF" w:val="clear"/>
            <w:tcMar>
              <w:top w:type="dxa" w:w="70"/>
              <w:left w:type="dxa" w:w="110"/>
              <w:bottom w:type="dxa" w:w="70"/>
              <w:right w:type="dxa" w:w="110"/>
            </w:tcMar>
            <w:vAlign w:val="center"/>
          </w:tcPr>
          <w:p>
            <w:pPr>
              <w:spacing w:after="0"/>
            </w:pPr>
            <w:r>
              <w:rPr>
                <w:b w:val="false"/>
                <w:bCs w:val="false"/>
                <w:sz w:val="19"/>
                <w:szCs w:val="19"/>
              </w:rPr>
              <w:t xml:space="preserve">Fonte primária de contratações, contratos, atas e amparo legal</w:t>
            </w:r>
          </w:p>
        </w:tc>
      </w:tr>
    </w:tbl>
    <w:p>
      <w:pPr>
        <w:pStyle w:val="Heading3"/>
        <w:keepNext/>
        <w:keepLines/>
        <w:spacing w:after="100" w:before="220"/>
      </w:pPr>
      <w:bookmarkStart w:name="_Toc5" w:id="5"/>
      <w:r>
        <w:t xml:space="preserve">Recursos relevantes</w:t>
      </w:r>
      <w:bookmarkEnd w:id="5"/>
    </w:p>
    <w:tbl>
      <w:tblPr>
        <w:tblW w:type="dxa" w:w="9600"/>
        <w:tblBorders>
          <w:top w:val="single" w:color="BFBFBF" w:sz="4"/>
          <w:left w:val="single" w:color="BFBFBF" w:sz="4"/>
          <w:bottom w:val="single" w:color="BFBFBF" w:sz="4"/>
          <w:right w:val="single" w:color="BFBFBF" w:sz="4"/>
          <w:insideH w:val="single" w:color="D9D9D9" w:sz="2"/>
          <w:insideV w:val="single" w:color="D9D9D9" w:sz="2"/>
        </w:tblBorders>
      </w:tblPr>
      <w:tblGrid>
        <w:gridCol w:w="2300"/>
        <w:gridCol w:w="3500"/>
        <w:gridCol w:w="3800"/>
      </w:tblGrid>
      <w:tr>
        <w:trPr>
          <w:tblHeader/>
        </w:trPr>
        <w:tc>
          <w:tcPr>
            <w:tcW w:type="dxa" w:w="2300"/>
            <w:shd w:fill="1F3864" w:val="clear"/>
            <w:tcMar>
              <w:top w:type="dxa" w:w="80"/>
              <w:left w:type="dxa" w:w="110"/>
              <w:bottom w:type="dxa" w:w="80"/>
              <w:right w:type="dxa" w:w="110"/>
            </w:tcMar>
            <w:vAlign w:val="center"/>
          </w:tcPr>
          <w:p>
            <w:pPr>
              <w:spacing w:after="0"/>
            </w:pPr>
            <w:r>
              <w:rPr>
                <w:b/>
                <w:bCs/>
                <w:color w:val="FFFFFF"/>
                <w:sz w:val="19"/>
                <w:szCs w:val="19"/>
              </w:rPr>
              <w:t xml:space="preserve">Recurso</w:t>
            </w:r>
          </w:p>
        </w:tc>
        <w:tc>
          <w:tcPr>
            <w:tcW w:type="dxa" w:w="3500"/>
            <w:shd w:fill="1F3864" w:val="clear"/>
            <w:tcMar>
              <w:top w:type="dxa" w:w="80"/>
              <w:left w:type="dxa" w:w="110"/>
              <w:bottom w:type="dxa" w:w="80"/>
              <w:right w:type="dxa" w:w="110"/>
            </w:tcMar>
            <w:vAlign w:val="center"/>
          </w:tcPr>
          <w:p>
            <w:pPr>
              <w:spacing w:after="0"/>
            </w:pPr>
            <w:r>
              <w:rPr>
                <w:b/>
                <w:bCs/>
                <w:color w:val="FFFFFF"/>
                <w:sz w:val="19"/>
                <w:szCs w:val="19"/>
              </w:rPr>
              <w:t xml:space="preserve">Endpoint</w:t>
            </w:r>
          </w:p>
        </w:tc>
        <w:tc>
          <w:tcPr>
            <w:tcW w:type="dxa" w:w="3800"/>
            <w:shd w:fill="1F3864" w:val="clear"/>
            <w:tcMar>
              <w:top w:type="dxa" w:w="80"/>
              <w:left w:type="dxa" w:w="110"/>
              <w:bottom w:type="dxa" w:w="80"/>
              <w:right w:type="dxa" w:w="110"/>
            </w:tcMar>
            <w:vAlign w:val="center"/>
          </w:tcPr>
          <w:p>
            <w:pPr>
              <w:spacing w:after="0"/>
            </w:pPr>
            <w:r>
              <w:rPr>
                <w:b/>
                <w:bCs/>
                <w:color w:val="FFFFFF"/>
                <w:sz w:val="19"/>
                <w:szCs w:val="19"/>
              </w:rPr>
              <w:t xml:space="preserve">Uso no Lumen</w:t>
            </w:r>
          </w:p>
        </w:tc>
      </w:tr>
      <w:tr>
        <w:trPr>
          <w:cantSplit/>
        </w:trPr>
        <w:tc>
          <w:tcPr>
            <w:tcW w:type="dxa" w:w="2300"/>
            <w:shd w:fill="FFFFFF" w:val="clear"/>
            <w:tcMar>
              <w:top w:type="dxa" w:w="70"/>
              <w:left w:type="dxa" w:w="110"/>
              <w:bottom w:type="dxa" w:w="70"/>
              <w:right w:type="dxa" w:w="110"/>
            </w:tcMar>
            <w:vAlign w:val="center"/>
          </w:tcPr>
          <w:p>
            <w:pPr>
              <w:spacing w:after="0"/>
            </w:pPr>
            <w:r>
              <w:rPr>
                <w:b w:val="false"/>
                <w:bCs w:val="false"/>
                <w:sz w:val="19"/>
                <w:szCs w:val="19"/>
              </w:rPr>
              <w:t xml:space="preserve">Contratações por publicação</w:t>
            </w:r>
          </w:p>
        </w:tc>
        <w:tc>
          <w:tcPr>
            <w:tcW w:type="dxa" w:w="3500"/>
            <w:shd w:fill="FFFFFF" w:val="clear"/>
            <w:tcMar>
              <w:top w:type="dxa" w:w="70"/>
              <w:left w:type="dxa" w:w="110"/>
              <w:bottom w:type="dxa" w:w="70"/>
              <w:right w:type="dxa" w:w="110"/>
            </w:tcMar>
            <w:vAlign w:val="center"/>
          </w:tcPr>
          <w:p>
            <w:pPr>
              <w:spacing w:after="0"/>
            </w:pPr>
            <w:r>
              <w:rPr>
                <w:b w:val="false"/>
                <w:bCs w:val="false"/>
                <w:sz w:val="19"/>
                <w:szCs w:val="19"/>
              </w:rPr>
              <w:t xml:space="preserve">/v1/contratacoes/publicacao</w:t>
            </w:r>
          </w:p>
        </w:tc>
        <w:tc>
          <w:tcPr>
            <w:tcW w:type="dxa" w:w="3800"/>
            <w:shd w:fill="FFFFFF" w:val="clear"/>
            <w:tcMar>
              <w:top w:type="dxa" w:w="70"/>
              <w:left w:type="dxa" w:w="110"/>
              <w:bottom w:type="dxa" w:w="70"/>
              <w:right w:type="dxa" w:w="110"/>
            </w:tcMar>
            <w:vAlign w:val="center"/>
          </w:tcPr>
          <w:p>
            <w:pPr>
              <w:spacing w:after="0"/>
            </w:pPr>
            <w:r>
              <w:rPr>
                <w:b w:val="false"/>
                <w:bCs w:val="false"/>
                <w:sz w:val="19"/>
                <w:szCs w:val="19"/>
              </w:rPr>
              <w:t xml:space="preserve">Carga inicial e acompanhamento diário</w:t>
            </w:r>
          </w:p>
        </w:tc>
      </w:tr>
      <w:tr>
        <w:trPr>
          <w:cantSplit/>
        </w:trPr>
        <w:tc>
          <w:tcPr>
            <w:tcW w:type="dxa" w:w="2300"/>
            <w:shd w:fill="F2F2F2" w:val="clear"/>
            <w:tcMar>
              <w:top w:type="dxa" w:w="70"/>
              <w:left w:type="dxa" w:w="110"/>
              <w:bottom w:type="dxa" w:w="70"/>
              <w:right w:type="dxa" w:w="110"/>
            </w:tcMar>
            <w:vAlign w:val="center"/>
          </w:tcPr>
          <w:p>
            <w:pPr>
              <w:spacing w:after="0"/>
            </w:pPr>
            <w:r>
              <w:rPr>
                <w:b w:val="false"/>
                <w:bCs w:val="false"/>
                <w:sz w:val="19"/>
                <w:szCs w:val="19"/>
              </w:rPr>
              <w:t xml:space="preserve">Contratações por atualização</w:t>
            </w:r>
          </w:p>
        </w:tc>
        <w:tc>
          <w:tcPr>
            <w:tcW w:type="dxa" w:w="3500"/>
            <w:shd w:fill="F2F2F2" w:val="clear"/>
            <w:tcMar>
              <w:top w:type="dxa" w:w="70"/>
              <w:left w:type="dxa" w:w="110"/>
              <w:bottom w:type="dxa" w:w="70"/>
              <w:right w:type="dxa" w:w="110"/>
            </w:tcMar>
            <w:vAlign w:val="center"/>
          </w:tcPr>
          <w:p>
            <w:pPr>
              <w:spacing w:after="0"/>
            </w:pPr>
            <w:r>
              <w:rPr>
                <w:b w:val="false"/>
                <w:bCs w:val="false"/>
                <w:sz w:val="19"/>
                <w:szCs w:val="19"/>
              </w:rPr>
              <w:t xml:space="preserve">/v1/contratacoes/atualizacao</w:t>
            </w:r>
          </w:p>
        </w:tc>
        <w:tc>
          <w:tcPr>
            <w:tcW w:type="dxa" w:w="3800"/>
            <w:shd w:fill="F2F2F2" w:val="clear"/>
            <w:tcMar>
              <w:top w:type="dxa" w:w="70"/>
              <w:left w:type="dxa" w:w="110"/>
              <w:bottom w:type="dxa" w:w="70"/>
              <w:right w:type="dxa" w:w="110"/>
            </w:tcMar>
            <w:vAlign w:val="center"/>
          </w:tcPr>
          <w:p>
            <w:pPr>
              <w:spacing w:after="0"/>
            </w:pPr>
            <w:r>
              <w:rPr>
                <w:b w:val="false"/>
                <w:bCs w:val="false"/>
                <w:sz w:val="19"/>
                <w:szCs w:val="19"/>
              </w:rPr>
              <w:t xml:space="preserve">Captura alterações posteriores à publicação</w:t>
            </w:r>
          </w:p>
        </w:tc>
      </w:tr>
      <w:tr>
        <w:trPr>
          <w:cantSplit/>
        </w:trPr>
        <w:tc>
          <w:tcPr>
            <w:tcW w:type="dxa" w:w="2300"/>
            <w:shd w:fill="FFFFFF" w:val="clear"/>
            <w:tcMar>
              <w:top w:type="dxa" w:w="70"/>
              <w:left w:type="dxa" w:w="110"/>
              <w:bottom w:type="dxa" w:w="70"/>
              <w:right w:type="dxa" w:w="110"/>
            </w:tcMar>
            <w:vAlign w:val="center"/>
          </w:tcPr>
          <w:p>
            <w:pPr>
              <w:spacing w:after="0"/>
            </w:pPr>
            <w:r>
              <w:rPr>
                <w:b w:val="false"/>
                <w:bCs w:val="false"/>
                <w:sz w:val="19"/>
                <w:szCs w:val="19"/>
              </w:rPr>
              <w:t xml:space="preserve">Contratação específica</w:t>
            </w:r>
          </w:p>
        </w:tc>
        <w:tc>
          <w:tcPr>
            <w:tcW w:type="dxa" w:w="3500"/>
            <w:shd w:fill="FFFFFF" w:val="clear"/>
            <w:tcMar>
              <w:top w:type="dxa" w:w="70"/>
              <w:left w:type="dxa" w:w="110"/>
              <w:bottom w:type="dxa" w:w="70"/>
              <w:right w:type="dxa" w:w="110"/>
            </w:tcMar>
            <w:vAlign w:val="center"/>
          </w:tcPr>
          <w:p>
            <w:pPr>
              <w:spacing w:after="0"/>
            </w:pPr>
            <w:r>
              <w:rPr>
                <w:b w:val="false"/>
                <w:bCs w:val="false"/>
                <w:sz w:val="19"/>
                <w:szCs w:val="19"/>
              </w:rPr>
              <w:t xml:space="preserve">/v1/orgaos/{cnpj}/compras/{ano}/{sequencial}</w:t>
            </w:r>
          </w:p>
        </w:tc>
        <w:tc>
          <w:tcPr>
            <w:tcW w:type="dxa" w:w="3800"/>
            <w:shd w:fill="FFFFFF" w:val="clear"/>
            <w:tcMar>
              <w:top w:type="dxa" w:w="70"/>
              <w:left w:type="dxa" w:w="110"/>
              <w:bottom w:type="dxa" w:w="70"/>
              <w:right w:type="dxa" w:w="110"/>
            </w:tcMar>
            <w:vAlign w:val="center"/>
          </w:tcPr>
          <w:p>
            <w:pPr>
              <w:spacing w:after="0"/>
            </w:pPr>
            <w:r>
              <w:rPr>
                <w:b w:val="false"/>
                <w:bCs w:val="false"/>
                <w:sz w:val="19"/>
                <w:szCs w:val="19"/>
              </w:rPr>
              <w:t xml:space="preserve">Detalhamento sob demanda</w:t>
            </w:r>
          </w:p>
        </w:tc>
      </w:tr>
      <w:tr>
        <w:trPr>
          <w:cantSplit/>
        </w:trPr>
        <w:tc>
          <w:tcPr>
            <w:tcW w:type="dxa" w:w="2300"/>
            <w:shd w:fill="F2F2F2" w:val="clear"/>
            <w:tcMar>
              <w:top w:type="dxa" w:w="70"/>
              <w:left w:type="dxa" w:w="110"/>
              <w:bottom w:type="dxa" w:w="70"/>
              <w:right w:type="dxa" w:w="110"/>
            </w:tcMar>
            <w:vAlign w:val="center"/>
          </w:tcPr>
          <w:p>
            <w:pPr>
              <w:spacing w:after="0"/>
            </w:pPr>
            <w:r>
              <w:rPr>
                <w:b w:val="false"/>
                <w:bCs w:val="false"/>
                <w:sz w:val="19"/>
                <w:szCs w:val="19"/>
              </w:rPr>
              <w:t xml:space="preserve">Contratos e empenhos</w:t>
            </w:r>
          </w:p>
        </w:tc>
        <w:tc>
          <w:tcPr>
            <w:tcW w:type="dxa" w:w="3500"/>
            <w:shd w:fill="F2F2F2" w:val="clear"/>
            <w:tcMar>
              <w:top w:type="dxa" w:w="70"/>
              <w:left w:type="dxa" w:w="110"/>
              <w:bottom w:type="dxa" w:w="70"/>
              <w:right w:type="dxa" w:w="110"/>
            </w:tcMar>
            <w:vAlign w:val="center"/>
          </w:tcPr>
          <w:p>
            <w:pPr>
              <w:spacing w:after="0"/>
            </w:pPr>
            <w:r>
              <w:rPr>
                <w:b w:val="false"/>
                <w:bCs w:val="false"/>
                <w:sz w:val="19"/>
                <w:szCs w:val="19"/>
              </w:rPr>
              <w:t xml:space="preserve">/v1/contratos</w:t>
            </w:r>
          </w:p>
        </w:tc>
        <w:tc>
          <w:tcPr>
            <w:tcW w:type="dxa" w:w="3800"/>
            <w:shd w:fill="F2F2F2" w:val="clear"/>
            <w:tcMar>
              <w:top w:type="dxa" w:w="70"/>
              <w:left w:type="dxa" w:w="110"/>
              <w:bottom w:type="dxa" w:w="70"/>
              <w:right w:type="dxa" w:w="110"/>
            </w:tcMar>
            <w:vAlign w:val="center"/>
          </w:tcPr>
          <w:p>
            <w:pPr>
              <w:spacing w:after="0"/>
            </w:pPr>
            <w:r>
              <w:rPr>
                <w:b w:val="false"/>
                <w:bCs w:val="false"/>
                <w:sz w:val="19"/>
                <w:szCs w:val="19"/>
              </w:rPr>
              <w:t xml:space="preserve">Contratos firmados e seus valores</w:t>
            </w:r>
          </w:p>
        </w:tc>
      </w:tr>
      <w:tr>
        <w:trPr>
          <w:cantSplit/>
        </w:trPr>
        <w:tc>
          <w:tcPr>
            <w:tcW w:type="dxa" w:w="2300"/>
            <w:shd w:fill="FFFFFF" w:val="clear"/>
            <w:tcMar>
              <w:top w:type="dxa" w:w="70"/>
              <w:left w:type="dxa" w:w="110"/>
              <w:bottom w:type="dxa" w:w="70"/>
              <w:right w:type="dxa" w:w="110"/>
            </w:tcMar>
            <w:vAlign w:val="center"/>
          </w:tcPr>
          <w:p>
            <w:pPr>
              <w:spacing w:after="0"/>
            </w:pPr>
            <w:r>
              <w:rPr>
                <w:b w:val="false"/>
                <w:bCs w:val="false"/>
                <w:sz w:val="19"/>
                <w:szCs w:val="19"/>
              </w:rPr>
              <w:t xml:space="preserve">Contratos por atualização</w:t>
            </w:r>
          </w:p>
        </w:tc>
        <w:tc>
          <w:tcPr>
            <w:tcW w:type="dxa" w:w="3500"/>
            <w:shd w:fill="FFFFFF" w:val="clear"/>
            <w:tcMar>
              <w:top w:type="dxa" w:w="70"/>
              <w:left w:type="dxa" w:w="110"/>
              <w:bottom w:type="dxa" w:w="70"/>
              <w:right w:type="dxa" w:w="110"/>
            </w:tcMar>
            <w:vAlign w:val="center"/>
          </w:tcPr>
          <w:p>
            <w:pPr>
              <w:spacing w:after="0"/>
            </w:pPr>
            <w:r>
              <w:rPr>
                <w:b w:val="false"/>
                <w:bCs w:val="false"/>
                <w:sz w:val="19"/>
                <w:szCs w:val="19"/>
              </w:rPr>
              <w:t xml:space="preserve">/v1/contratos/atualizacao</w:t>
            </w:r>
          </w:p>
        </w:tc>
        <w:tc>
          <w:tcPr>
            <w:tcW w:type="dxa" w:w="3800"/>
            <w:shd w:fill="FFFFFF" w:val="clear"/>
            <w:tcMar>
              <w:top w:type="dxa" w:w="70"/>
              <w:left w:type="dxa" w:w="110"/>
              <w:bottom w:type="dxa" w:w="70"/>
              <w:right w:type="dxa" w:w="110"/>
            </w:tcMar>
            <w:vAlign w:val="center"/>
          </w:tcPr>
          <w:p>
            <w:pPr>
              <w:spacing w:after="0"/>
            </w:pPr>
            <w:r>
              <w:rPr>
                <w:b w:val="false"/>
                <w:bCs w:val="false"/>
                <w:sz w:val="19"/>
                <w:szCs w:val="19"/>
              </w:rPr>
              <w:t xml:space="preserve">Aditivos e mudanças de valor</w:t>
            </w:r>
          </w:p>
        </w:tc>
      </w:tr>
      <w:tr>
        <w:trPr>
          <w:cantSplit/>
        </w:trPr>
        <w:tc>
          <w:tcPr>
            <w:tcW w:type="dxa" w:w="2300"/>
            <w:shd w:fill="F2F2F2" w:val="clear"/>
            <w:tcMar>
              <w:top w:type="dxa" w:w="70"/>
              <w:left w:type="dxa" w:w="110"/>
              <w:bottom w:type="dxa" w:w="70"/>
              <w:right w:type="dxa" w:w="110"/>
            </w:tcMar>
            <w:vAlign w:val="center"/>
          </w:tcPr>
          <w:p>
            <w:pPr>
              <w:spacing w:after="0"/>
            </w:pPr>
            <w:r>
              <w:rPr>
                <w:b w:val="false"/>
                <w:bCs w:val="false"/>
                <w:sz w:val="19"/>
                <w:szCs w:val="19"/>
              </w:rPr>
              <w:t xml:space="preserve">Atas de registro de preço</w:t>
            </w:r>
          </w:p>
        </w:tc>
        <w:tc>
          <w:tcPr>
            <w:tcW w:type="dxa" w:w="3500"/>
            <w:shd w:fill="F2F2F2" w:val="clear"/>
            <w:tcMar>
              <w:top w:type="dxa" w:w="70"/>
              <w:left w:type="dxa" w:w="110"/>
              <w:bottom w:type="dxa" w:w="70"/>
              <w:right w:type="dxa" w:w="110"/>
            </w:tcMar>
            <w:vAlign w:val="center"/>
          </w:tcPr>
          <w:p>
            <w:pPr>
              <w:spacing w:after="0"/>
            </w:pPr>
            <w:r>
              <w:rPr>
                <w:b w:val="false"/>
                <w:bCs w:val="false"/>
                <w:sz w:val="19"/>
                <w:szCs w:val="19"/>
              </w:rPr>
              <w:t xml:space="preserve">/v1/atas</w:t>
            </w:r>
          </w:p>
        </w:tc>
        <w:tc>
          <w:tcPr>
            <w:tcW w:type="dxa" w:w="3800"/>
            <w:shd w:fill="F2F2F2" w:val="clear"/>
            <w:tcMar>
              <w:top w:type="dxa" w:w="70"/>
              <w:left w:type="dxa" w:w="110"/>
              <w:bottom w:type="dxa" w:w="70"/>
              <w:right w:type="dxa" w:w="110"/>
            </w:tcMar>
            <w:vAlign w:val="center"/>
          </w:tcPr>
          <w:p>
            <w:pPr>
              <w:spacing w:after="0"/>
            </w:pPr>
            <w:r>
              <w:rPr>
                <w:b w:val="false"/>
                <w:bCs w:val="false"/>
                <w:sz w:val="19"/>
                <w:szCs w:val="19"/>
              </w:rPr>
              <w:t xml:space="preserve">Comparação de preços registrados entre entes</w:t>
            </w:r>
          </w:p>
        </w:tc>
      </w:tr>
      <w:tr>
        <w:trPr>
          <w:cantSplit/>
        </w:trPr>
        <w:tc>
          <w:tcPr>
            <w:tcW w:type="dxa" w:w="2300"/>
            <w:shd w:fill="FFFFFF" w:val="clear"/>
            <w:tcMar>
              <w:top w:type="dxa" w:w="70"/>
              <w:left w:type="dxa" w:w="110"/>
              <w:bottom w:type="dxa" w:w="70"/>
              <w:right w:type="dxa" w:w="110"/>
            </w:tcMar>
            <w:vAlign w:val="center"/>
          </w:tcPr>
          <w:p>
            <w:pPr>
              <w:spacing w:after="0"/>
            </w:pPr>
            <w:r>
              <w:rPr>
                <w:b w:val="false"/>
                <w:bCs w:val="false"/>
                <w:sz w:val="19"/>
                <w:szCs w:val="19"/>
              </w:rPr>
              <w:t xml:space="preserve">Instrumentos de cobrança</w:t>
            </w:r>
          </w:p>
        </w:tc>
        <w:tc>
          <w:tcPr>
            <w:tcW w:type="dxa" w:w="3500"/>
            <w:shd w:fill="FFFFFF" w:val="clear"/>
            <w:tcMar>
              <w:top w:type="dxa" w:w="70"/>
              <w:left w:type="dxa" w:w="110"/>
              <w:bottom w:type="dxa" w:w="70"/>
              <w:right w:type="dxa" w:w="110"/>
            </w:tcMar>
            <w:vAlign w:val="center"/>
          </w:tcPr>
          <w:p>
            <w:pPr>
              <w:spacing w:after="0"/>
            </w:pPr>
            <w:r>
              <w:rPr>
                <w:b w:val="false"/>
                <w:bCs w:val="false"/>
                <w:sz w:val="19"/>
                <w:szCs w:val="19"/>
              </w:rPr>
              <w:t xml:space="preserve">/v1/instrumentoscobranca/inclusao</w:t>
            </w:r>
          </w:p>
        </w:tc>
        <w:tc>
          <w:tcPr>
            <w:tcW w:type="dxa" w:w="3800"/>
            <w:shd w:fill="FFFFFF" w:val="clear"/>
            <w:tcMar>
              <w:top w:type="dxa" w:w="70"/>
              <w:left w:type="dxa" w:w="110"/>
              <w:bottom w:type="dxa" w:w="70"/>
              <w:right w:type="dxa" w:w="110"/>
            </w:tcMar>
            <w:vAlign w:val="center"/>
          </w:tcPr>
          <w:p>
            <w:pPr>
              <w:spacing w:after="0"/>
            </w:pPr>
            <w:r>
              <w:rPr>
                <w:b w:val="false"/>
                <w:bCs w:val="false"/>
                <w:sz w:val="19"/>
                <w:szCs w:val="19"/>
              </w:rPr>
              <w:t xml:space="preserve">Notas fiscais vinculadas à execução</w:t>
            </w:r>
          </w:p>
        </w:tc>
      </w:tr>
      <w:tr>
        <w:trPr>
          <w:cantSplit/>
        </w:trPr>
        <w:tc>
          <w:tcPr>
            <w:tcW w:type="dxa" w:w="2300"/>
            <w:shd w:fill="F2F2F2" w:val="clear"/>
            <w:tcMar>
              <w:top w:type="dxa" w:w="70"/>
              <w:left w:type="dxa" w:w="110"/>
              <w:bottom w:type="dxa" w:w="70"/>
              <w:right w:type="dxa" w:w="110"/>
            </w:tcMar>
            <w:vAlign w:val="center"/>
          </w:tcPr>
          <w:p>
            <w:pPr>
              <w:spacing w:after="0"/>
            </w:pPr>
            <w:r>
              <w:rPr>
                <w:b w:val="false"/>
                <w:bCs w:val="false"/>
                <w:sz w:val="19"/>
                <w:szCs w:val="19"/>
              </w:rPr>
              <w:t xml:space="preserve">Planos de contratação anual</w:t>
            </w:r>
          </w:p>
        </w:tc>
        <w:tc>
          <w:tcPr>
            <w:tcW w:type="dxa" w:w="3500"/>
            <w:shd w:fill="F2F2F2" w:val="clear"/>
            <w:tcMar>
              <w:top w:type="dxa" w:w="70"/>
              <w:left w:type="dxa" w:w="110"/>
              <w:bottom w:type="dxa" w:w="70"/>
              <w:right w:type="dxa" w:w="110"/>
            </w:tcMar>
            <w:vAlign w:val="center"/>
          </w:tcPr>
          <w:p>
            <w:pPr>
              <w:spacing w:after="0"/>
            </w:pPr>
            <w:r>
              <w:rPr>
                <w:b w:val="false"/>
                <w:bCs w:val="false"/>
                <w:sz w:val="19"/>
                <w:szCs w:val="19"/>
              </w:rPr>
              <w:t xml:space="preserve">/v1/pca/</w:t>
            </w:r>
          </w:p>
        </w:tc>
        <w:tc>
          <w:tcPr>
            <w:tcW w:type="dxa" w:w="3800"/>
            <w:shd w:fill="F2F2F2" w:val="clear"/>
            <w:tcMar>
              <w:top w:type="dxa" w:w="70"/>
              <w:left w:type="dxa" w:w="110"/>
              <w:bottom w:type="dxa" w:w="70"/>
              <w:right w:type="dxa" w:w="110"/>
            </w:tcMar>
            <w:vAlign w:val="center"/>
          </w:tcPr>
          <w:p>
            <w:pPr>
              <w:spacing w:after="0"/>
            </w:pPr>
            <w:r>
              <w:rPr>
                <w:b w:val="false"/>
                <w:bCs w:val="false"/>
                <w:sz w:val="19"/>
                <w:szCs w:val="19"/>
              </w:rPr>
              <w:t xml:space="preserve">Comparação entre o planejado e o executado</w:t>
            </w:r>
          </w:p>
        </w:tc>
      </w:tr>
    </w:tbl>
    <w:p>
      <w:pPr>
        <w:pStyle w:val="Heading3"/>
        <w:keepNext/>
        <w:keepLines/>
        <w:spacing w:after="100" w:before="220"/>
      </w:pPr>
      <w:bookmarkStart w:name="_Toc6" w:id="6"/>
      <w:r>
        <w:t xml:space="preserve">Comportamento real observado (outubro de 2026)</w:t>
      </w:r>
      <w:bookmarkEnd w:id="6"/>
    </w:p>
    <w:p>
      <w:pPr>
        <w:spacing w:after="120"/>
      </w:pPr>
      <w:r>
        <w:rPr>
          <w:b w:val="false"/>
          <w:bCs w:val="false"/>
          <w:i w:val="false"/>
          <w:iCs w:val="false"/>
        </w:rPr>
        <w:t xml:space="preserve">A documentação oficial não basta para coletar o PNCP. Os pontos abaixo foram observados nas respostas reais durante a construção dos conectores da Fase 1; cada um tem fixture e teste próprios.</w:t>
      </w:r>
    </w:p>
    <w:tbl>
      <w:tblPr>
        <w:tblW w:type="dxa" w:w="9600"/>
        <w:tblBorders>
          <w:top w:val="single" w:color="BFBFBF" w:sz="4"/>
          <w:left w:val="single" w:color="BFBFBF" w:sz="4"/>
          <w:bottom w:val="single" w:color="BFBFBF" w:sz="4"/>
          <w:right w:val="single" w:color="BFBFBF" w:sz="4"/>
          <w:insideH w:val="single" w:color="D9D9D9" w:sz="2"/>
          <w:insideV w:val="single" w:color="D9D9D9" w:sz="2"/>
        </w:tblBorders>
      </w:tblPr>
      <w:tblGrid>
        <w:gridCol w:w="4600"/>
        <w:gridCol w:w="5000"/>
      </w:tblGrid>
      <w:tr>
        <w:trPr>
          <w:tblHeader/>
        </w:trPr>
        <w:tc>
          <w:tcPr>
            <w:tcW w:type="dxa" w:w="4600"/>
            <w:shd w:fill="1F3864" w:val="clear"/>
            <w:tcMar>
              <w:top w:type="dxa" w:w="80"/>
              <w:left w:type="dxa" w:w="110"/>
              <w:bottom w:type="dxa" w:w="80"/>
              <w:right w:type="dxa" w:w="110"/>
            </w:tcMar>
            <w:vAlign w:val="center"/>
          </w:tcPr>
          <w:p>
            <w:pPr>
              <w:spacing w:after="0"/>
            </w:pPr>
            <w:r>
              <w:rPr>
                <w:b/>
                <w:bCs/>
                <w:color w:val="FFFFFF"/>
                <w:sz w:val="19"/>
                <w:szCs w:val="19"/>
              </w:rPr>
              <w:t xml:space="preserve">Comportamento</w:t>
            </w:r>
          </w:p>
        </w:tc>
        <w:tc>
          <w:tcPr>
            <w:tcW w:type="dxa" w:w="5000"/>
            <w:shd w:fill="1F3864" w:val="clear"/>
            <w:tcMar>
              <w:top w:type="dxa" w:w="80"/>
              <w:left w:type="dxa" w:w="110"/>
              <w:bottom w:type="dxa" w:w="80"/>
              <w:right w:type="dxa" w:w="110"/>
            </w:tcMar>
            <w:vAlign w:val="center"/>
          </w:tcPr>
          <w:p>
            <w:pPr>
              <w:spacing w:after="0"/>
            </w:pPr>
            <w:r>
              <w:rPr>
                <w:b/>
                <w:bCs/>
                <w:color w:val="FFFFFF"/>
                <w:sz w:val="19"/>
                <w:szCs w:val="19"/>
              </w:rPr>
              <w:t xml:space="preserve">Como o Lumen trata</w:t>
            </w:r>
          </w:p>
        </w:tc>
      </w:tr>
      <w:tr>
        <w:trPr>
          <w:cantSplit/>
        </w:trPr>
        <w:tc>
          <w:tcPr>
            <w:tcW w:type="dxa" w:w="4600"/>
            <w:shd w:fill="FFFFFF" w:val="clear"/>
            <w:tcMar>
              <w:top w:type="dxa" w:w="70"/>
              <w:left w:type="dxa" w:w="110"/>
              <w:bottom w:type="dxa" w:w="70"/>
              <w:right w:type="dxa" w:w="110"/>
            </w:tcMar>
            <w:vAlign w:val="center"/>
          </w:tcPr>
          <w:p>
            <w:pPr>
              <w:spacing w:after="0"/>
            </w:pPr>
            <w:r>
              <w:rPr>
                <w:b w:val="false"/>
                <w:bCs w:val="false"/>
                <w:sz w:val="17"/>
                <w:szCs w:val="17"/>
              </w:rPr>
              <w:t xml:space="preserve">codigoModalidadeContratacao é obrigatório em /v1/contratacoes/*; sem ele, erro 400</w:t>
            </w:r>
          </w:p>
        </w:tc>
        <w:tc>
          <w:tcPr>
            <w:tcW w:type="dxa" w:w="5000"/>
            <w:shd w:fill="FFFFFF" w:val="clear"/>
            <w:tcMar>
              <w:top w:type="dxa" w:w="70"/>
              <w:left w:type="dxa" w:w="110"/>
              <w:bottom w:type="dxa" w:w="70"/>
              <w:right w:type="dxa" w:w="110"/>
            </w:tcMar>
            <w:vAlign w:val="center"/>
          </w:tcPr>
          <w:p>
            <w:pPr>
              <w:spacing w:after="0"/>
            </w:pPr>
            <w:r>
              <w:rPr>
                <w:b w:val="false"/>
                <w:bCs w:val="false"/>
                <w:sz w:val="17"/>
                <w:szCs w:val="17"/>
              </w:rPr>
              <w:t xml:space="preserve">A coleta de contratações percorre as 19 modalidades do domínio oficial</w:t>
            </w:r>
          </w:p>
        </w:tc>
      </w:tr>
      <w:tr>
        <w:trPr>
          <w:cantSplit/>
        </w:trPr>
        <w:tc>
          <w:tcPr>
            <w:tcW w:type="dxa" w:w="4600"/>
            <w:shd w:fill="F2F2F2" w:val="clear"/>
            <w:tcMar>
              <w:top w:type="dxa" w:w="70"/>
              <w:left w:type="dxa" w:w="110"/>
              <w:bottom w:type="dxa" w:w="70"/>
              <w:right w:type="dxa" w:w="110"/>
            </w:tcMar>
            <w:vAlign w:val="center"/>
          </w:tcPr>
          <w:p>
            <w:pPr>
              <w:spacing w:after="0"/>
            </w:pPr>
            <w:r>
              <w:rPr>
                <w:b w:val="false"/>
                <w:bCs w:val="false"/>
                <w:sz w:val="17"/>
                <w:szCs w:val="17"/>
              </w:rPr>
              <w:t xml:space="preserve">tamanhoPagina aceita no máximo 50 em contratações e 500 em contratos e atas</w:t>
            </w:r>
          </w:p>
        </w:tc>
        <w:tc>
          <w:tcPr>
            <w:tcW w:type="dxa" w:w="5000"/>
            <w:shd w:fill="F2F2F2" w:val="clear"/>
            <w:tcMar>
              <w:top w:type="dxa" w:w="70"/>
              <w:left w:type="dxa" w:w="110"/>
              <w:bottom w:type="dxa" w:w="70"/>
              <w:right w:type="dxa" w:w="110"/>
            </w:tcMar>
            <w:vAlign w:val="center"/>
          </w:tcPr>
          <w:p>
            <w:pPr>
              <w:spacing w:after="0"/>
            </w:pPr>
            <w:r>
              <w:rPr>
                <w:b w:val="false"/>
                <w:bCs w:val="false"/>
                <w:sz w:val="17"/>
                <w:szCs w:val="17"/>
              </w:rPr>
              <w:t xml:space="preserve">O conector usa o máximo de cada recurso e recusa valor fora da faixa</w:t>
            </w:r>
          </w:p>
        </w:tc>
      </w:tr>
      <w:tr>
        <w:trPr>
          <w:cantSplit/>
        </w:trPr>
        <w:tc>
          <w:tcPr>
            <w:tcW w:type="dxa" w:w="4600"/>
            <w:shd w:fill="FFFFFF" w:val="clear"/>
            <w:tcMar>
              <w:top w:type="dxa" w:w="70"/>
              <w:left w:type="dxa" w:w="110"/>
              <w:bottom w:type="dxa" w:w="70"/>
              <w:right w:type="dxa" w:w="110"/>
            </w:tcMar>
            <w:vAlign w:val="center"/>
          </w:tcPr>
          <w:p>
            <w:pPr>
              <w:spacing w:after="0"/>
            </w:pPr>
            <w:r>
              <w:rPr>
                <w:b w:val="false"/>
                <w:bCs w:val="false"/>
                <w:sz w:val="17"/>
                <w:szCs w:val="17"/>
              </w:rPr>
              <w:t xml:space="preserve">Janela de datas acima de 365 dias responde 422</w:t>
            </w:r>
          </w:p>
        </w:tc>
        <w:tc>
          <w:tcPr>
            <w:tcW w:type="dxa" w:w="5000"/>
            <w:shd w:fill="FFFFFF" w:val="clear"/>
            <w:tcMar>
              <w:top w:type="dxa" w:w="70"/>
              <w:left w:type="dxa" w:w="110"/>
              <w:bottom w:type="dxa" w:w="70"/>
              <w:right w:type="dxa" w:w="110"/>
            </w:tcMar>
            <w:vAlign w:val="center"/>
          </w:tcPr>
          <w:p>
            <w:pPr>
              <w:spacing w:after="0"/>
            </w:pPr>
            <w:r>
              <w:rPr>
                <w:b w:val="false"/>
                <w:bCs w:val="false"/>
                <w:sz w:val="17"/>
                <w:szCs w:val="17"/>
              </w:rPr>
              <w:t xml:space="preserve">A coleta fatia por dia, o que também mantém o tamanho das páginas previsível</w:t>
            </w:r>
          </w:p>
        </w:tc>
      </w:tr>
      <w:tr>
        <w:trPr>
          <w:cantSplit/>
        </w:trPr>
        <w:tc>
          <w:tcPr>
            <w:tcW w:type="dxa" w:w="4600"/>
            <w:shd w:fill="F2F2F2" w:val="clear"/>
            <w:tcMar>
              <w:top w:type="dxa" w:w="70"/>
              <w:left w:type="dxa" w:w="110"/>
              <w:bottom w:type="dxa" w:w="70"/>
              <w:right w:type="dxa" w:w="110"/>
            </w:tcMar>
            <w:vAlign w:val="center"/>
          </w:tcPr>
          <w:p>
            <w:pPr>
              <w:spacing w:after="0"/>
            </w:pPr>
            <w:r>
              <w:rPr>
                <w:b w:val="false"/>
                <w:bCs w:val="false"/>
                <w:sz w:val="17"/>
                <w:szCs w:val="17"/>
              </w:rPr>
              <w:t xml:space="preserve">Página sem registros responde 204 sem corpo, não 200 com lista vazia</w:t>
            </w:r>
          </w:p>
        </w:tc>
        <w:tc>
          <w:tcPr>
            <w:tcW w:type="dxa" w:w="5000"/>
            <w:shd w:fill="F2F2F2" w:val="clear"/>
            <w:tcMar>
              <w:top w:type="dxa" w:w="70"/>
              <w:left w:type="dxa" w:w="110"/>
              <w:bottom w:type="dxa" w:w="70"/>
              <w:right w:type="dxa" w:w="110"/>
            </w:tcMar>
            <w:vAlign w:val="center"/>
          </w:tcPr>
          <w:p>
            <w:pPr>
              <w:spacing w:after="0"/>
            </w:pPr>
            <w:r>
              <w:rPr>
                <w:b w:val="false"/>
                <w:bCs w:val="false"/>
                <w:sz w:val="17"/>
                <w:szCs w:val="17"/>
              </w:rPr>
              <w:t xml:space="preserve">204 é tratado como fim da listagem</w:t>
            </w:r>
          </w:p>
        </w:tc>
      </w:tr>
      <w:tr>
        <w:trPr>
          <w:cantSplit/>
        </w:trPr>
        <w:tc>
          <w:tcPr>
            <w:tcW w:type="dxa" w:w="4600"/>
            <w:shd w:fill="FFFFFF" w:val="clear"/>
            <w:tcMar>
              <w:top w:type="dxa" w:w="70"/>
              <w:left w:type="dxa" w:w="110"/>
              <w:bottom w:type="dxa" w:w="70"/>
              <w:right w:type="dxa" w:w="110"/>
            </w:tcMar>
            <w:vAlign w:val="center"/>
          </w:tcPr>
          <w:p>
            <w:pPr>
              <w:spacing w:after="0"/>
            </w:pPr>
            <w:r>
              <w:rPr>
                <w:b w:val="false"/>
                <w:bCs w:val="false"/>
                <w:sz w:val="17"/>
                <w:szCs w:val="17"/>
              </w:rPr>
              <w:t xml:space="preserve">Erro 422 traz status como texto ("422"); erro 400 traz número</w:t>
            </w:r>
          </w:p>
        </w:tc>
        <w:tc>
          <w:tcPr>
            <w:tcW w:type="dxa" w:w="5000"/>
            <w:shd w:fill="FFFFFF" w:val="clear"/>
            <w:tcMar>
              <w:top w:type="dxa" w:w="70"/>
              <w:left w:type="dxa" w:w="110"/>
              <w:bottom w:type="dxa" w:w="70"/>
              <w:right w:type="dxa" w:w="110"/>
            </w:tcMar>
            <w:vAlign w:val="center"/>
          </w:tcPr>
          <w:p>
            <w:pPr>
              <w:spacing w:after="0"/>
            </w:pPr>
            <w:r>
              <w:rPr>
                <w:b w:val="false"/>
                <w:bCs w:val="false"/>
                <w:sz w:val="17"/>
                <w:szCs w:val="17"/>
              </w:rPr>
              <w:t xml:space="preserve">Leitura tolerante aos dois formatos</w:t>
            </w:r>
          </w:p>
        </w:tc>
      </w:tr>
      <w:tr>
        <w:trPr>
          <w:cantSplit/>
        </w:trPr>
        <w:tc>
          <w:tcPr>
            <w:tcW w:type="dxa" w:w="4600"/>
            <w:shd w:fill="F2F2F2" w:val="clear"/>
            <w:tcMar>
              <w:top w:type="dxa" w:w="70"/>
              <w:left w:type="dxa" w:w="110"/>
              <w:bottom w:type="dxa" w:w="70"/>
              <w:right w:type="dxa" w:w="110"/>
            </w:tcMar>
            <w:vAlign w:val="center"/>
          </w:tcPr>
          <w:p>
            <w:pPr>
              <w:spacing w:after="0"/>
            </w:pPr>
            <w:r>
              <w:rPr>
                <w:b w:val="false"/>
                <w:bCs w:val="false"/>
                <w:sz w:val="17"/>
                <w:szCs w:val="17"/>
              </w:rPr>
              <w:t xml:space="preserve">Itens, resultados e arquivos de uma contratação ficam em outra API (/api/pncp, no caminho do órgão)</w:t>
            </w:r>
          </w:p>
        </w:tc>
        <w:tc>
          <w:tcPr>
            <w:tcW w:type="dxa" w:w="5000"/>
            <w:shd w:fill="F2F2F2" w:val="clear"/>
            <w:tcMar>
              <w:top w:type="dxa" w:w="70"/>
              <w:left w:type="dxa" w:w="110"/>
              <w:bottom w:type="dxa" w:w="70"/>
              <w:right w:type="dxa" w:w="110"/>
            </w:tcMar>
            <w:vAlign w:val="center"/>
          </w:tcPr>
          <w:p>
            <w:pPr>
              <w:spacing w:after="0"/>
            </w:pPr>
            <w:r>
              <w:rPr>
                <w:b w:val="false"/>
                <w:bCs w:val="false"/>
                <w:sz w:val="17"/>
                <w:szCs w:val="17"/>
              </w:rPr>
              <w:t xml:space="preserve">Conector próprio (pncp_itens), separado da consulta</w:t>
            </w:r>
          </w:p>
        </w:tc>
      </w:tr>
      <w:tr>
        <w:trPr>
          <w:cantSplit/>
        </w:trPr>
        <w:tc>
          <w:tcPr>
            <w:tcW w:type="dxa" w:w="4600"/>
            <w:shd w:fill="FFFFFF" w:val="clear"/>
            <w:tcMar>
              <w:top w:type="dxa" w:w="70"/>
              <w:left w:type="dxa" w:w="110"/>
              <w:bottom w:type="dxa" w:w="70"/>
              <w:right w:type="dxa" w:w="110"/>
            </w:tcMar>
            <w:vAlign w:val="center"/>
          </w:tcPr>
          <w:p>
            <w:pPr>
              <w:spacing w:after="0"/>
            </w:pPr>
            <w:r>
              <w:rPr>
                <w:b w:val="false"/>
                <w:bCs w:val="false"/>
                <w:sz w:val="17"/>
                <w:szCs w:val="17"/>
              </w:rPr>
              <w:t xml:space="preserve">usuarioNome é a plataforma de software que enviou os dados, não uma pessoa</w:t>
            </w:r>
          </w:p>
        </w:tc>
        <w:tc>
          <w:tcPr>
            <w:tcW w:type="dxa" w:w="5000"/>
            <w:shd w:fill="FFFFFF" w:val="clear"/>
            <w:tcMar>
              <w:top w:type="dxa" w:w="70"/>
              <w:left w:type="dxa" w:w="110"/>
              <w:bottom w:type="dxa" w:w="70"/>
              <w:right w:type="dxa" w:w="110"/>
            </w:tcMar>
            <w:vAlign w:val="center"/>
          </w:tcPr>
          <w:p>
            <w:pPr>
              <w:spacing w:after="0"/>
            </w:pPr>
            <w:r>
              <w:rPr>
                <w:b w:val="false"/>
                <w:bCs w:val="false"/>
                <w:sz w:val="17"/>
                <w:szCs w:val="17"/>
              </w:rPr>
              <w:t xml:space="preserve">Guardado como plataforma; o agente que autorizou o ato fica vazio (ADR-017)</w:t>
            </w:r>
          </w:p>
        </w:tc>
      </w:tr>
      <w:tr>
        <w:trPr>
          <w:cantSplit/>
        </w:trPr>
        <w:tc>
          <w:tcPr>
            <w:tcW w:type="dxa" w:w="4600"/>
            <w:shd w:fill="F2F2F2" w:val="clear"/>
            <w:tcMar>
              <w:top w:type="dxa" w:w="70"/>
              <w:left w:type="dxa" w:w="110"/>
              <w:bottom w:type="dxa" w:w="70"/>
              <w:right w:type="dxa" w:w="110"/>
            </w:tcMar>
            <w:vAlign w:val="center"/>
          </w:tcPr>
          <w:p>
            <w:pPr>
              <w:spacing w:after="0"/>
            </w:pPr>
            <w:r>
              <w:rPr>
                <w:b w:val="false"/>
                <w:bCs w:val="false"/>
                <w:sz w:val="17"/>
                <w:szCs w:val="17"/>
              </w:rPr>
              <w:t xml:space="preserve">Descrição do amparo legal ainda cita os valores originais da lei (R$ 50 mil e R$ 100 mil)</w:t>
            </w:r>
          </w:p>
        </w:tc>
        <w:tc>
          <w:tcPr>
            <w:tcW w:type="dxa" w:w="5000"/>
            <w:shd w:fill="F2F2F2" w:val="clear"/>
            <w:tcMar>
              <w:top w:type="dxa" w:w="70"/>
              <w:left w:type="dxa" w:w="110"/>
              <w:bottom w:type="dxa" w:w="70"/>
              <w:right w:type="dxa" w:w="110"/>
            </w:tcMar>
            <w:vAlign w:val="center"/>
          </w:tcPr>
          <w:p>
            <w:pPr>
              <w:spacing w:after="0"/>
            </w:pPr>
            <w:r>
              <w:rPr>
                <w:b w:val="false"/>
                <w:bCs w:val="false"/>
                <w:sz w:val="17"/>
                <w:szCs w:val="17"/>
              </w:rPr>
              <w:t xml:space="preserve">O limite vem do código do amparo e dos parâmetros legais datados, nunca do texto</w:t>
            </w:r>
          </w:p>
        </w:tc>
      </w:tr>
      <w:tr>
        <w:trPr>
          <w:cantSplit/>
        </w:trPr>
        <w:tc>
          <w:tcPr>
            <w:tcW w:type="dxa" w:w="4600"/>
            <w:shd w:fill="FFFFFF" w:val="clear"/>
            <w:tcMar>
              <w:top w:type="dxa" w:w="70"/>
              <w:left w:type="dxa" w:w="110"/>
              <w:bottom w:type="dxa" w:w="70"/>
              <w:right w:type="dxa" w:w="110"/>
            </w:tcMar>
            <w:vAlign w:val="center"/>
          </w:tcPr>
          <w:p>
            <w:pPr>
              <w:spacing w:after="0"/>
            </w:pPr>
            <w:r>
              <w:rPr>
                <w:b w:val="false"/>
                <w:bCs w:val="false"/>
                <w:sz w:val="17"/>
                <w:szCs w:val="17"/>
              </w:rPr>
              <w:t xml:space="preserve">Dados com erro de digitação (ata com vigência no ano 7203)</w:t>
            </w:r>
          </w:p>
        </w:tc>
        <w:tc>
          <w:tcPr>
            <w:tcW w:type="dxa" w:w="5000"/>
            <w:shd w:fill="FFFFFF" w:val="clear"/>
            <w:tcMar>
              <w:top w:type="dxa" w:w="70"/>
              <w:left w:type="dxa" w:w="110"/>
              <w:bottom w:type="dxa" w:w="70"/>
              <w:right w:type="dxa" w:w="110"/>
            </w:tcMar>
            <w:vAlign w:val="center"/>
          </w:tcPr>
          <w:p>
            <w:pPr>
              <w:spacing w:after="0"/>
            </w:pPr>
            <w:r>
              <w:rPr>
                <w:b w:val="false"/>
                <w:bCs w:val="false"/>
                <w:sz w:val="17"/>
                <w:szCs w:val="17"/>
              </w:rPr>
              <w:t xml:space="preserve">Linha vai para a quarentena com o motivo; o resto do artefato segue</w:t>
            </w:r>
          </w:p>
        </w:tc>
      </w:tr>
      <w:tr>
        <w:trPr>
          <w:cantSplit/>
        </w:trPr>
        <w:tc>
          <w:tcPr>
            <w:tcW w:type="dxa" w:w="4600"/>
            <w:shd w:fill="F2F2F2" w:val="clear"/>
            <w:tcMar>
              <w:top w:type="dxa" w:w="70"/>
              <w:left w:type="dxa" w:w="110"/>
              <w:bottom w:type="dxa" w:w="70"/>
              <w:right w:type="dxa" w:w="110"/>
            </w:tcMar>
            <w:vAlign w:val="center"/>
          </w:tcPr>
          <w:p>
            <w:pPr>
              <w:spacing w:after="0"/>
            </w:pPr>
            <w:r>
              <w:rPr>
                <w:b w:val="false"/>
                <w:bCs w:val="false"/>
                <w:sz w:val="17"/>
                <w:szCs w:val="17"/>
              </w:rPr>
              <w:t xml:space="preserve">valorTotalEstimado = 0 com valor homologado nulo</w:t>
            </w:r>
          </w:p>
        </w:tc>
        <w:tc>
          <w:tcPr>
            <w:tcW w:type="dxa" w:w="5000"/>
            <w:shd w:fill="F2F2F2" w:val="clear"/>
            <w:tcMar>
              <w:top w:type="dxa" w:w="70"/>
              <w:left w:type="dxa" w:w="110"/>
              <w:bottom w:type="dxa" w:w="70"/>
              <w:right w:type="dxa" w:w="110"/>
            </w:tcMar>
            <w:vAlign w:val="center"/>
          </w:tcPr>
          <w:p>
            <w:pPr>
              <w:spacing w:after="0"/>
            </w:pPr>
            <w:r>
              <w:rPr>
                <w:b w:val="false"/>
                <w:bCs w:val="false"/>
                <w:sz w:val="17"/>
                <w:szCs w:val="17"/>
              </w:rPr>
              <w:t xml:space="preserve">Aceito com marcação de qualidade; nunca usado como valor zero</w:t>
            </w:r>
          </w:p>
        </w:tc>
      </w:tr>
      <w:tr>
        <w:trPr>
          <w:cantSplit/>
        </w:trPr>
        <w:tc>
          <w:tcPr>
            <w:tcW w:type="dxa" w:w="4600"/>
            <w:shd w:fill="FFFFFF" w:val="clear"/>
            <w:tcMar>
              <w:top w:type="dxa" w:w="70"/>
              <w:left w:type="dxa" w:w="110"/>
              <w:bottom w:type="dxa" w:w="70"/>
              <w:right w:type="dxa" w:w="110"/>
            </w:tcMar>
            <w:vAlign w:val="center"/>
          </w:tcPr>
          <w:p>
            <w:pPr>
              <w:spacing w:after="0"/>
            </w:pPr>
            <w:r>
              <w:rPr>
                <w:b w:val="false"/>
                <w:bCs w:val="false"/>
                <w:sz w:val="17"/>
                <w:szCs w:val="17"/>
              </w:rPr>
              <w:t xml:space="preserve">esferaId e poderId iguais a N (não informado)</w:t>
            </w:r>
          </w:p>
        </w:tc>
        <w:tc>
          <w:tcPr>
            <w:tcW w:type="dxa" w:w="5000"/>
            <w:shd w:fill="FFFFFF" w:val="clear"/>
            <w:tcMar>
              <w:top w:type="dxa" w:w="70"/>
              <w:left w:type="dxa" w:w="110"/>
              <w:bottom w:type="dxa" w:w="70"/>
              <w:right w:type="dxa" w:w="110"/>
            </w:tcMar>
            <w:vAlign w:val="center"/>
          </w:tcPr>
          <w:p>
            <w:pPr>
              <w:spacing w:after="0"/>
            </w:pPr>
            <w:r>
              <w:rPr>
                <w:b w:val="false"/>
                <w:bCs w:val="false"/>
                <w:sz w:val="17"/>
                <w:szCs w:val="17"/>
              </w:rPr>
              <w:t xml:space="preserve">Viram nulo, com marcação; o ente não é adivinhado</w:t>
            </w:r>
          </w:p>
        </w:tc>
      </w:tr>
      <w:tr>
        <w:trPr>
          <w:cantSplit/>
        </w:trPr>
        <w:tc>
          <w:tcPr>
            <w:tcW w:type="dxa" w:w="4600"/>
            <w:shd w:fill="F2F2F2" w:val="clear"/>
            <w:tcMar>
              <w:top w:type="dxa" w:w="70"/>
              <w:left w:type="dxa" w:w="110"/>
              <w:bottom w:type="dxa" w:w="70"/>
              <w:right w:type="dxa" w:w="110"/>
            </w:tcMar>
            <w:vAlign w:val="center"/>
          </w:tcPr>
          <w:p>
            <w:pPr>
              <w:spacing w:after="0"/>
            </w:pPr>
            <w:r>
              <w:rPr>
                <w:b w:val="false"/>
                <w:bCs w:val="false"/>
                <w:sz w:val="17"/>
                <w:szCs w:val="17"/>
              </w:rPr>
              <w:t xml:space="preserve">Órgão estadual com o código IBGE da capital</w:t>
            </w:r>
          </w:p>
        </w:tc>
        <w:tc>
          <w:tcPr>
            <w:tcW w:type="dxa" w:w="5000"/>
            <w:shd w:fill="F2F2F2" w:val="clear"/>
            <w:tcMar>
              <w:top w:type="dxa" w:w="70"/>
              <w:left w:type="dxa" w:w="110"/>
              <w:bottom w:type="dxa" w:w="70"/>
              <w:right w:type="dxa" w:w="110"/>
            </w:tcMar>
            <w:vAlign w:val="center"/>
          </w:tcPr>
          <w:p>
            <w:pPr>
              <w:spacing w:after="0"/>
            </w:pPr>
            <w:r>
              <w:rPr>
                <w:b w:val="false"/>
                <w:bCs w:val="false"/>
                <w:sz w:val="17"/>
                <w:szCs w:val="17"/>
              </w:rPr>
              <w:t xml:space="preserve">O ente é o estado, não o município</w:t>
            </w:r>
          </w:p>
        </w:tc>
      </w:tr>
    </w:tbl>
    <w:p>
      <w:pPr>
        <w:spacing w:after="120"/>
      </w:pPr>
      <w:r>
        <w:rPr>
          <w:b w:val="false"/>
          <w:bCs w:val="false"/>
          <w:i w:val="false"/>
          <w:iCs w:val="false"/>
        </w:rPr>
        <w:t xml:space="preserve">Limite padrão do Lumen: 60 requisições por minuto em cada recurso do PNCP, ajustável em lumen.toml.</w:t>
      </w:r>
    </w:p>
    <w:tbl>
      <w:tblPr>
        <w:tblW w:type="dxa" w:w="9600"/>
        <w:tblBorders>
          <w:top w:val="single" w:color="C00000" w:sz="6"/>
          <w:left w:val="single" w:color="C00000" w:sz="18"/>
          <w:bottom w:val="single" w:color="C00000" w:sz="6"/>
          <w:right w:val="single" w:color="C00000" w:sz="6"/>
          <w:insideH w:val="none" w:color="FFFFFF" w:sz="0"/>
          <w:insideV w:val="none" w:color="FFFFFF" w:sz="0"/>
        </w:tblBorders>
      </w:tblPr>
      <w:tblGrid>
        <w:gridCol w:w="9600"/>
      </w:tblGrid>
      <w:tr>
        <w:trPr>
          <w:cantSplit/>
        </w:trPr>
        <w:tc>
          <w:tcPr>
            <w:tcW w:type="dxa" w:w="9600"/>
            <w:shd w:fill="FDEDED" w:val="clear"/>
            <w:tcMar>
              <w:top w:type="dxa" w:w="130"/>
              <w:left w:type="dxa" w:w="170"/>
              <w:bottom w:type="dxa" w:w="130"/>
              <w:right w:type="dxa" w:w="150"/>
            </w:tcMar>
          </w:tcPr>
          <w:p>
            <w:pPr>
              <w:spacing w:after="90"/>
            </w:pPr>
            <w:r>
              <w:rPr>
                <w:b/>
                <w:bCs/>
                <w:color w:val="000000"/>
              </w:rPr>
              <w:t xml:space="preserve">Lacuna que afeta a política editorial</w:t>
            </w:r>
          </w:p>
          <w:p>
            <w:pPr>
              <w:spacing w:after="70"/>
            </w:pPr>
            <w:r>
              <w:t xml:space="preserve">A API do PNCP não publica quem autorizou a contratação. A exigência do DOC-08 de mostrar quem praticou o ato depende de fonte complementar (diário oficial ou portal do ente), e nenhum indício que dependa dessa informação pode ser publicado só com o PNCP.</w:t>
            </w:r>
          </w:p>
        </w:tc>
      </w:tr>
    </w:tbl>
    <w:p>
      <w:pPr>
        <w:spacing w:after="100"/>
      </w:pPr>
    </w:p>
    <w:tbl>
      <w:tblPr>
        <w:tblW w:type="dxa" w:w="9600"/>
        <w:tblBorders>
          <w:top w:val="single" w:color="2E75B6" w:sz="6"/>
          <w:left w:val="single" w:color="2E75B6" w:sz="18"/>
          <w:bottom w:val="single" w:color="2E75B6" w:sz="6"/>
          <w:right w:val="single" w:color="2E75B6" w:sz="6"/>
          <w:insideH w:val="none" w:color="FFFFFF" w:sz="0"/>
          <w:insideV w:val="none" w:color="FFFFFF" w:sz="0"/>
        </w:tblBorders>
      </w:tblPr>
      <w:tblGrid>
        <w:gridCol w:w="9600"/>
      </w:tblGrid>
      <w:tr>
        <w:trPr>
          <w:cantSplit/>
        </w:trPr>
        <w:tc>
          <w:tcPr>
            <w:tcW w:type="dxa" w:w="9600"/>
            <w:shd w:fill="DCE6F1" w:val="clear"/>
            <w:tcMar>
              <w:top w:type="dxa" w:w="130"/>
              <w:left w:type="dxa" w:w="170"/>
              <w:bottom w:type="dxa" w:w="130"/>
              <w:right w:type="dxa" w:w="150"/>
            </w:tcMar>
          </w:tcPr>
          <w:p>
            <w:pPr>
              <w:spacing w:after="90"/>
            </w:pPr>
            <w:r>
              <w:rPr>
                <w:b/>
                <w:bCs/>
                <w:color w:val="000000"/>
              </w:rPr>
              <w:t xml:space="preserve">Por que o PNCP é a fonte mais valiosa do projeto</w:t>
            </w:r>
          </w:p>
          <w:p>
            <w:pPr>
              <w:spacing w:after="70"/>
            </w:pPr>
            <w:r>
              <w:t xml:space="preserve">Além de contratos e valores, a API traz o amparo legal como campo estruturado, e não como texto livre. Isso permite responder de forma objetiva, e em escala nacional, com que fundamento cada contratação direta foi realizada — exatamente o dado que sustenta as regras de dispensa e fracionamento, e o requisito de registrar por que o ato foi autorizado.</w:t>
            </w:r>
          </w:p>
        </w:tc>
      </w:tr>
    </w:tbl>
    <w:p>
      <w:pPr>
        <w:pStyle w:val="Heading2"/>
        <w:keepNext/>
        <w:keepLines/>
        <w:spacing w:after="120" w:before="280"/>
      </w:pPr>
      <w:bookmarkStart w:name="_Toc7" w:id="7"/>
      <w:r>
        <w:t xml:space="preserve">2.2 SICONFI — Tesouro Nacional</w:t>
      </w:r>
      <w:bookmarkEnd w:id="7"/>
    </w:p>
    <w:tbl>
      <w:tblPr>
        <w:tblW w:type="dxa" w:w="9600"/>
        <w:tblBorders>
          <w:top w:val="single" w:color="BFBFBF" w:sz="4"/>
          <w:left w:val="single" w:color="BFBFBF" w:sz="4"/>
          <w:bottom w:val="single" w:color="BFBFBF" w:sz="4"/>
          <w:right w:val="single" w:color="BFBFBF" w:sz="4"/>
          <w:insideH w:val="single" w:color="D9D9D9" w:sz="2"/>
          <w:insideV w:val="single" w:color="D9D9D9" w:sz="2"/>
        </w:tblBorders>
      </w:tblPr>
      <w:tblGrid>
        <w:gridCol w:w="2200"/>
        <w:gridCol w:w="7400"/>
      </w:tblGrid>
      <w:tr>
        <w:trPr>
          <w:cantSplit/>
        </w:trPr>
        <w:tc>
          <w:tcPr>
            <w:tcW w:type="dxa" w:w="2200"/>
            <w:shd w:fill="FFFFFF" w:val="clear"/>
            <w:tcMar>
              <w:top w:type="dxa" w:w="70"/>
              <w:left w:type="dxa" w:w="110"/>
              <w:bottom w:type="dxa" w:w="70"/>
              <w:right w:type="dxa" w:w="110"/>
            </w:tcMar>
            <w:vAlign w:val="center"/>
          </w:tcPr>
          <w:p>
            <w:pPr>
              <w:spacing w:after="0"/>
            </w:pPr>
            <w:r>
              <w:rPr>
                <w:b/>
                <w:bCs/>
                <w:sz w:val="19"/>
                <w:szCs w:val="19"/>
              </w:rPr>
              <w:t xml:space="preserve">Operador</w:t>
            </w:r>
          </w:p>
        </w:tc>
        <w:tc>
          <w:tcPr>
            <w:tcW w:type="dxa" w:w="7400"/>
            <w:shd w:fill="FFFFFF" w:val="clear"/>
            <w:tcMar>
              <w:top w:type="dxa" w:w="70"/>
              <w:left w:type="dxa" w:w="110"/>
              <w:bottom w:type="dxa" w:w="70"/>
              <w:right w:type="dxa" w:w="110"/>
            </w:tcMar>
            <w:vAlign w:val="center"/>
          </w:tcPr>
          <w:p>
            <w:pPr>
              <w:spacing w:after="0"/>
            </w:pPr>
            <w:r>
              <w:rPr>
                <w:b w:val="false"/>
                <w:bCs w:val="false"/>
                <w:sz w:val="19"/>
                <w:szCs w:val="19"/>
              </w:rPr>
              <w:t xml:space="preserve">Secretaria do Tesouro Nacional</w:t>
            </w:r>
          </w:p>
        </w:tc>
      </w:tr>
      <w:tr>
        <w:trPr>
          <w:cantSplit/>
        </w:trPr>
        <w:tc>
          <w:tcPr>
            <w:tcW w:type="dxa" w:w="2200"/>
            <w:shd w:fill="F2F2F2" w:val="clear"/>
            <w:tcMar>
              <w:top w:type="dxa" w:w="70"/>
              <w:left w:type="dxa" w:w="110"/>
              <w:bottom w:type="dxa" w:w="70"/>
              <w:right w:type="dxa" w:w="110"/>
            </w:tcMar>
            <w:vAlign w:val="center"/>
          </w:tcPr>
          <w:p>
            <w:pPr>
              <w:spacing w:after="0"/>
            </w:pPr>
            <w:r>
              <w:rPr>
                <w:b/>
                <w:bCs/>
                <w:sz w:val="19"/>
                <w:szCs w:val="19"/>
              </w:rPr>
              <w:t xml:space="preserve">Endpoint</w:t>
            </w:r>
          </w:p>
        </w:tc>
        <w:tc>
          <w:tcPr>
            <w:tcW w:type="dxa" w:w="7400"/>
            <w:shd w:fill="F2F2F2" w:val="clear"/>
            <w:tcMar>
              <w:top w:type="dxa" w:w="70"/>
              <w:left w:type="dxa" w:w="110"/>
              <w:bottom w:type="dxa" w:w="70"/>
              <w:right w:type="dxa" w:w="110"/>
            </w:tcMar>
            <w:vAlign w:val="center"/>
          </w:tcPr>
          <w:p>
            <w:pPr>
              <w:spacing w:after="0"/>
            </w:pPr>
            <w:r>
              <w:rPr>
                <w:b w:val="false"/>
                <w:bCs w:val="false"/>
                <w:sz w:val="19"/>
                <w:szCs w:val="19"/>
              </w:rPr>
              <w:t xml:space="preserve">https://apidatalake.tesouro.gov.br/ords/siconfi/tt/</w:t>
            </w:r>
          </w:p>
        </w:tc>
      </w:tr>
      <w:tr>
        <w:trPr>
          <w:cantSplit/>
        </w:trPr>
        <w:tc>
          <w:tcPr>
            <w:tcW w:type="dxa" w:w="2200"/>
            <w:shd w:fill="FFFFFF" w:val="clear"/>
            <w:tcMar>
              <w:top w:type="dxa" w:w="70"/>
              <w:left w:type="dxa" w:w="110"/>
              <w:bottom w:type="dxa" w:w="70"/>
              <w:right w:type="dxa" w:w="110"/>
            </w:tcMar>
            <w:vAlign w:val="center"/>
          </w:tcPr>
          <w:p>
            <w:pPr>
              <w:spacing w:after="0"/>
            </w:pPr>
            <w:r>
              <w:rPr>
                <w:b/>
                <w:bCs/>
                <w:sz w:val="19"/>
                <w:szCs w:val="19"/>
              </w:rPr>
              <w:t xml:space="preserve">Autenticação</w:t>
            </w:r>
          </w:p>
        </w:tc>
        <w:tc>
          <w:tcPr>
            <w:tcW w:type="dxa" w:w="7400"/>
            <w:shd w:fill="FFFFFF" w:val="clear"/>
            <w:tcMar>
              <w:top w:type="dxa" w:w="70"/>
              <w:left w:type="dxa" w:w="110"/>
              <w:bottom w:type="dxa" w:w="70"/>
              <w:right w:type="dxa" w:w="110"/>
            </w:tcMar>
            <w:vAlign w:val="center"/>
          </w:tcPr>
          <w:p>
            <w:pPr>
              <w:spacing w:after="0"/>
            </w:pPr>
            <w:r>
              <w:rPr>
                <w:b w:val="false"/>
                <w:bCs w:val="false"/>
                <w:sz w:val="19"/>
                <w:szCs w:val="19"/>
              </w:rPr>
              <w:t xml:space="preserve">Não exigida</w:t>
            </w:r>
          </w:p>
        </w:tc>
      </w:tr>
      <w:tr>
        <w:trPr>
          <w:cantSplit/>
        </w:trPr>
        <w:tc>
          <w:tcPr>
            <w:tcW w:type="dxa" w:w="2200"/>
            <w:shd w:fill="F2F2F2" w:val="clear"/>
            <w:tcMar>
              <w:top w:type="dxa" w:w="70"/>
              <w:left w:type="dxa" w:w="110"/>
              <w:bottom w:type="dxa" w:w="70"/>
              <w:right w:type="dxa" w:w="110"/>
            </w:tcMar>
            <w:vAlign w:val="center"/>
          </w:tcPr>
          <w:p>
            <w:pPr>
              <w:spacing w:after="0"/>
            </w:pPr>
            <w:r>
              <w:rPr>
                <w:b/>
                <w:bCs/>
                <w:sz w:val="19"/>
                <w:szCs w:val="19"/>
              </w:rPr>
              <w:t xml:space="preserve">Formato</w:t>
            </w:r>
          </w:p>
        </w:tc>
        <w:tc>
          <w:tcPr>
            <w:tcW w:type="dxa" w:w="7400"/>
            <w:shd w:fill="F2F2F2" w:val="clear"/>
            <w:tcMar>
              <w:top w:type="dxa" w:w="70"/>
              <w:left w:type="dxa" w:w="110"/>
              <w:bottom w:type="dxa" w:w="70"/>
              <w:right w:type="dxa" w:w="110"/>
            </w:tcMar>
            <w:vAlign w:val="center"/>
          </w:tcPr>
          <w:p>
            <w:pPr>
              <w:spacing w:after="0"/>
            </w:pPr>
            <w:r>
              <w:rPr>
                <w:b w:val="false"/>
                <w:bCs w:val="false"/>
                <w:sz w:val="19"/>
                <w:szCs w:val="19"/>
              </w:rPr>
              <w:t xml:space="preserve">JSON, paginação padrão de 5.000 itens</w:t>
            </w:r>
          </w:p>
        </w:tc>
      </w:tr>
      <w:tr>
        <w:trPr>
          <w:cantSplit/>
        </w:trPr>
        <w:tc>
          <w:tcPr>
            <w:tcW w:type="dxa" w:w="2200"/>
            <w:shd w:fill="FFFFFF" w:val="clear"/>
            <w:tcMar>
              <w:top w:type="dxa" w:w="70"/>
              <w:left w:type="dxa" w:w="110"/>
              <w:bottom w:type="dxa" w:w="70"/>
              <w:right w:type="dxa" w:w="110"/>
            </w:tcMar>
            <w:vAlign w:val="center"/>
          </w:tcPr>
          <w:p>
            <w:pPr>
              <w:spacing w:after="0"/>
            </w:pPr>
            <w:r>
              <w:rPr>
                <w:b/>
                <w:bCs/>
                <w:sz w:val="19"/>
                <w:szCs w:val="19"/>
              </w:rPr>
              <w:t xml:space="preserve">Limite de taxa</w:t>
            </w:r>
          </w:p>
        </w:tc>
        <w:tc>
          <w:tcPr>
            <w:tcW w:type="dxa" w:w="7400"/>
            <w:shd w:fill="FFFFFF" w:val="clear"/>
            <w:tcMar>
              <w:top w:type="dxa" w:w="70"/>
              <w:left w:type="dxa" w:w="110"/>
              <w:bottom w:type="dxa" w:w="70"/>
              <w:right w:type="dxa" w:w="110"/>
            </w:tcMar>
            <w:vAlign w:val="center"/>
          </w:tcPr>
          <w:p>
            <w:pPr>
              <w:spacing w:after="0"/>
            </w:pPr>
            <w:r>
              <w:rPr>
                <w:b w:val="false"/>
                <w:bCs w:val="false"/>
                <w:sz w:val="19"/>
                <w:szCs w:val="19"/>
              </w:rPr>
              <w:t xml:space="preserve">Recomendação de aproximadamente uma requisição por segundo</w:t>
            </w:r>
          </w:p>
        </w:tc>
      </w:tr>
      <w:tr>
        <w:trPr>
          <w:cantSplit/>
        </w:trPr>
        <w:tc>
          <w:tcPr>
            <w:tcW w:type="dxa" w:w="2200"/>
            <w:shd w:fill="F2F2F2" w:val="clear"/>
            <w:tcMar>
              <w:top w:type="dxa" w:w="70"/>
              <w:left w:type="dxa" w:w="110"/>
              <w:bottom w:type="dxa" w:w="70"/>
              <w:right w:type="dxa" w:w="110"/>
            </w:tcMar>
            <w:vAlign w:val="center"/>
          </w:tcPr>
          <w:p>
            <w:pPr>
              <w:spacing w:after="0"/>
            </w:pPr>
            <w:r>
              <w:rPr>
                <w:b/>
                <w:bCs/>
                <w:sz w:val="19"/>
                <w:szCs w:val="19"/>
              </w:rPr>
              <w:t xml:space="preserve">Abrangência</w:t>
            </w:r>
          </w:p>
        </w:tc>
        <w:tc>
          <w:tcPr>
            <w:tcW w:type="dxa" w:w="7400"/>
            <w:shd w:fill="F2F2F2" w:val="clear"/>
            <w:tcMar>
              <w:top w:type="dxa" w:w="70"/>
              <w:left w:type="dxa" w:w="110"/>
              <w:bottom w:type="dxa" w:w="70"/>
              <w:right w:type="dxa" w:w="110"/>
            </w:tcMar>
            <w:vAlign w:val="center"/>
          </w:tcPr>
          <w:p>
            <w:pPr>
              <w:spacing w:after="0"/>
            </w:pPr>
            <w:r>
              <w:rPr>
                <w:b w:val="false"/>
                <w:bCs w:val="false"/>
                <w:sz w:val="19"/>
                <w:szCs w:val="19"/>
              </w:rPr>
              <w:t xml:space="preserve">Estados, Distrito Federal e municípios</w:t>
            </w:r>
          </w:p>
        </w:tc>
      </w:tr>
      <w:tr>
        <w:trPr>
          <w:cantSplit/>
        </w:trPr>
        <w:tc>
          <w:tcPr>
            <w:tcW w:type="dxa" w:w="2200"/>
            <w:shd w:fill="FFFFFF" w:val="clear"/>
            <w:tcMar>
              <w:top w:type="dxa" w:w="70"/>
              <w:left w:type="dxa" w:w="110"/>
              <w:bottom w:type="dxa" w:w="70"/>
              <w:right w:type="dxa" w:w="110"/>
            </w:tcMar>
            <w:vAlign w:val="center"/>
          </w:tcPr>
          <w:p>
            <w:pPr>
              <w:spacing w:after="0"/>
            </w:pPr>
            <w:r>
              <w:rPr>
                <w:b/>
                <w:bCs/>
                <w:sz w:val="19"/>
                <w:szCs w:val="19"/>
              </w:rPr>
              <w:t xml:space="preserve">Conteúdo</w:t>
            </w:r>
          </w:p>
        </w:tc>
        <w:tc>
          <w:tcPr>
            <w:tcW w:type="dxa" w:w="7400"/>
            <w:shd w:fill="FFFFFF" w:val="clear"/>
            <w:tcMar>
              <w:top w:type="dxa" w:w="70"/>
              <w:left w:type="dxa" w:w="110"/>
              <w:bottom w:type="dxa" w:w="70"/>
              <w:right w:type="dxa" w:w="110"/>
            </w:tcMar>
            <w:vAlign w:val="center"/>
          </w:tcPr>
          <w:p>
            <w:pPr>
              <w:spacing w:after="0"/>
            </w:pPr>
            <w:r>
              <w:rPr>
                <w:b w:val="false"/>
                <w:bCs w:val="false"/>
                <w:sz w:val="19"/>
                <w:szCs w:val="19"/>
              </w:rPr>
              <w:t xml:space="preserve">RREO bimestral, RGF, DCA anual e séries consolidadas</w:t>
            </w:r>
          </w:p>
        </w:tc>
      </w:tr>
    </w:tbl>
    <w:p>
      <w:pPr>
        <w:spacing w:after="120"/>
      </w:pPr>
      <w:r>
        <w:rPr>
          <w:b w:val="false"/>
          <w:bCs w:val="false"/>
          <w:i w:val="false"/>
          <w:iCs w:val="false"/>
        </w:rPr>
        <w:t xml:space="preserve">O SICONFI fornece a dimensão orçamentária e fiscal que o PNCP não cobre: receita, despesa por função, endividamento e indicadores de gestão fiscal. É a base do cálculo de gasto per capita e da formação dos grupos de pares.</w:t>
      </w:r>
    </w:p>
    <w:p>
      <w:pPr>
        <w:pStyle w:val="Heading3"/>
        <w:keepNext/>
        <w:keepLines/>
        <w:spacing w:after="100" w:before="220"/>
      </w:pPr>
      <w:bookmarkStart w:name="_Toc8" w:id="8"/>
      <w:r>
        <w:t xml:space="preserve">Comportamento real observado (outubro de 2026)</w:t>
      </w:r>
      <w:bookmarkEnd w:id="8"/>
    </w:p>
    <w:tbl>
      <w:tblPr>
        <w:tblW w:type="dxa" w:w="9600"/>
        <w:tblBorders>
          <w:top w:val="single" w:color="BFBFBF" w:sz="4"/>
          <w:left w:val="single" w:color="BFBFBF" w:sz="4"/>
          <w:bottom w:val="single" w:color="BFBFBF" w:sz="4"/>
          <w:right w:val="single" w:color="BFBFBF" w:sz="4"/>
          <w:insideH w:val="single" w:color="D9D9D9" w:sz="2"/>
          <w:insideV w:val="single" w:color="D9D9D9" w:sz="2"/>
        </w:tblBorders>
      </w:tblPr>
      <w:tblGrid>
        <w:gridCol w:w="4600"/>
        <w:gridCol w:w="5000"/>
      </w:tblGrid>
      <w:tr>
        <w:trPr>
          <w:tblHeader/>
        </w:trPr>
        <w:tc>
          <w:tcPr>
            <w:tcW w:type="dxa" w:w="4600"/>
            <w:shd w:fill="1F3864" w:val="clear"/>
            <w:tcMar>
              <w:top w:type="dxa" w:w="80"/>
              <w:left w:type="dxa" w:w="110"/>
              <w:bottom w:type="dxa" w:w="80"/>
              <w:right w:type="dxa" w:w="110"/>
            </w:tcMar>
            <w:vAlign w:val="center"/>
          </w:tcPr>
          <w:p>
            <w:pPr>
              <w:spacing w:after="0"/>
            </w:pPr>
            <w:r>
              <w:rPr>
                <w:b/>
                <w:bCs/>
                <w:color w:val="FFFFFF"/>
                <w:sz w:val="19"/>
                <w:szCs w:val="19"/>
              </w:rPr>
              <w:t xml:space="preserve">Comportamento</w:t>
            </w:r>
          </w:p>
        </w:tc>
        <w:tc>
          <w:tcPr>
            <w:tcW w:type="dxa" w:w="5000"/>
            <w:shd w:fill="1F3864" w:val="clear"/>
            <w:tcMar>
              <w:top w:type="dxa" w:w="80"/>
              <w:left w:type="dxa" w:w="110"/>
              <w:bottom w:type="dxa" w:w="80"/>
              <w:right w:type="dxa" w:w="110"/>
            </w:tcMar>
            <w:vAlign w:val="center"/>
          </w:tcPr>
          <w:p>
            <w:pPr>
              <w:spacing w:after="0"/>
            </w:pPr>
            <w:r>
              <w:rPr>
                <w:b/>
                <w:bCs/>
                <w:color w:val="FFFFFF"/>
                <w:sz w:val="19"/>
                <w:szCs w:val="19"/>
              </w:rPr>
              <w:t xml:space="preserve">Como o Lumen trata</w:t>
            </w:r>
          </w:p>
        </w:tc>
      </w:tr>
      <w:tr>
        <w:trPr>
          <w:cantSplit/>
        </w:trPr>
        <w:tc>
          <w:tcPr>
            <w:tcW w:type="dxa" w:w="4600"/>
            <w:shd w:fill="FFFFFF" w:val="clear"/>
            <w:tcMar>
              <w:top w:type="dxa" w:w="70"/>
              <w:left w:type="dxa" w:w="110"/>
              <w:bottom w:type="dxa" w:w="70"/>
              <w:right w:type="dxa" w:w="110"/>
            </w:tcMar>
            <w:vAlign w:val="center"/>
          </w:tcPr>
          <w:p>
            <w:pPr>
              <w:spacing w:after="0"/>
            </w:pPr>
            <w:r>
              <w:rPr>
                <w:b w:val="false"/>
                <w:bCs w:val="false"/>
                <w:sz w:val="17"/>
                <w:szCs w:val="17"/>
              </w:rPr>
              <w:t xml:space="preserve">Paginação ORDS por offset, com hasMore, até 5.000 itens por página</w:t>
            </w:r>
          </w:p>
        </w:tc>
        <w:tc>
          <w:tcPr>
            <w:tcW w:type="dxa" w:w="5000"/>
            <w:shd w:fill="FFFFFF" w:val="clear"/>
            <w:tcMar>
              <w:top w:type="dxa" w:w="70"/>
              <w:left w:type="dxa" w:w="110"/>
              <w:bottom w:type="dxa" w:w="70"/>
              <w:right w:type="dxa" w:w="110"/>
            </w:tcMar>
            <w:vAlign w:val="center"/>
          </w:tcPr>
          <w:p>
            <w:pPr>
              <w:spacing w:after="0"/>
            </w:pPr>
            <w:r>
              <w:rPr>
                <w:b w:val="false"/>
                <w:bCs w:val="false"/>
                <w:sz w:val="17"/>
                <w:szCs w:val="17"/>
              </w:rPr>
              <w:t xml:space="preserve">Leitura por deslocamento até hasMore = false</w:t>
            </w:r>
          </w:p>
        </w:tc>
      </w:tr>
      <w:tr>
        <w:trPr>
          <w:cantSplit/>
        </w:trPr>
        <w:tc>
          <w:tcPr>
            <w:tcW w:type="dxa" w:w="4600"/>
            <w:shd w:fill="F2F2F2" w:val="clear"/>
            <w:tcMar>
              <w:top w:type="dxa" w:w="70"/>
              <w:left w:type="dxa" w:w="110"/>
              <w:bottom w:type="dxa" w:w="70"/>
              <w:right w:type="dxa" w:w="110"/>
            </w:tcMar>
            <w:vAlign w:val="center"/>
          </w:tcPr>
          <w:p>
            <w:pPr>
              <w:spacing w:after="0"/>
            </w:pPr>
            <w:r>
              <w:rPr>
                <w:b w:val="false"/>
                <w:bCs w:val="false"/>
                <w:sz w:val="17"/>
                <w:szCs w:val="17"/>
              </w:rPr>
              <w:t xml:space="preserve">/entes lista 5.598 entes, com código IBGE, CNPJ e população</w:t>
            </w:r>
          </w:p>
        </w:tc>
        <w:tc>
          <w:tcPr>
            <w:tcW w:type="dxa" w:w="5000"/>
            <w:shd w:fill="F2F2F2" w:val="clear"/>
            <w:tcMar>
              <w:top w:type="dxa" w:w="70"/>
              <w:left w:type="dxa" w:w="110"/>
              <w:bottom w:type="dxa" w:w="70"/>
              <w:right w:type="dxa" w:w="110"/>
            </w:tcMar>
            <w:vAlign w:val="center"/>
          </w:tcPr>
          <w:p>
            <w:pPr>
              <w:spacing w:after="0"/>
            </w:pPr>
            <w:r>
              <w:rPr>
                <w:b w:val="false"/>
                <w:bCs w:val="false"/>
                <w:sz w:val="17"/>
                <w:szCs w:val="17"/>
              </w:rPr>
              <w:t xml:space="preserve">Base do cadastro de entes e do grupo de pares</w:t>
            </w:r>
          </w:p>
        </w:tc>
      </w:tr>
      <w:tr>
        <w:trPr>
          <w:cantSplit/>
        </w:trPr>
        <w:tc>
          <w:tcPr>
            <w:tcW w:type="dxa" w:w="4600"/>
            <w:shd w:fill="FFFFFF" w:val="clear"/>
            <w:tcMar>
              <w:top w:type="dxa" w:w="70"/>
              <w:left w:type="dxa" w:w="110"/>
              <w:bottom w:type="dxa" w:w="70"/>
              <w:right w:type="dxa" w:w="110"/>
            </w:tcMar>
            <w:vAlign w:val="center"/>
          </w:tcPr>
          <w:p>
            <w:pPr>
              <w:spacing w:after="0"/>
            </w:pPr>
            <w:r>
              <w:rPr>
                <w:b w:val="false"/>
                <w:bCs w:val="false"/>
                <w:sz w:val="17"/>
                <w:szCs w:val="17"/>
              </w:rPr>
              <w:t xml:space="preserve">capital vem como texto com espaços ("1  ")</w:t>
            </w:r>
          </w:p>
        </w:tc>
        <w:tc>
          <w:tcPr>
            <w:tcW w:type="dxa" w:w="5000"/>
            <w:shd w:fill="FFFFFF" w:val="clear"/>
            <w:tcMar>
              <w:top w:type="dxa" w:w="70"/>
              <w:left w:type="dxa" w:w="110"/>
              <w:bottom w:type="dxa" w:w="70"/>
              <w:right w:type="dxa" w:w="110"/>
            </w:tcMar>
            <w:vAlign w:val="center"/>
          </w:tcPr>
          <w:p>
            <w:pPr>
              <w:spacing w:after="0"/>
            </w:pPr>
            <w:r>
              <w:rPr>
                <w:b w:val="false"/>
                <w:bCs w:val="false"/>
                <w:sz w:val="17"/>
                <w:szCs w:val="17"/>
              </w:rPr>
              <w:t xml:space="preserve">Normalizado antes da conversão</w:t>
            </w:r>
          </w:p>
        </w:tc>
      </w:tr>
      <w:tr>
        <w:trPr>
          <w:cantSplit/>
        </w:trPr>
        <w:tc>
          <w:tcPr>
            <w:tcW w:type="dxa" w:w="4600"/>
            <w:shd w:fill="F2F2F2" w:val="clear"/>
            <w:tcMar>
              <w:top w:type="dxa" w:w="70"/>
              <w:left w:type="dxa" w:w="110"/>
              <w:bottom w:type="dxa" w:w="70"/>
              <w:right w:type="dxa" w:w="110"/>
            </w:tcMar>
            <w:vAlign w:val="center"/>
          </w:tcPr>
          <w:p>
            <w:pPr>
              <w:spacing w:after="0"/>
            </w:pPr>
            <w:r>
              <w:rPr>
                <w:b w:val="false"/>
                <w:bCs w:val="false"/>
                <w:sz w:val="17"/>
                <w:szCs w:val="17"/>
              </w:rPr>
              <w:t xml:space="preserve">Estados vêm com uf = "BR"; a União vem com cod_ibge = 1, uf nulo e população que não é a do país</w:t>
            </w:r>
          </w:p>
        </w:tc>
        <w:tc>
          <w:tcPr>
            <w:tcW w:type="dxa" w:w="5000"/>
            <w:shd w:fill="F2F2F2" w:val="clear"/>
            <w:tcMar>
              <w:top w:type="dxa" w:w="70"/>
              <w:left w:type="dxa" w:w="110"/>
              <w:bottom w:type="dxa" w:w="70"/>
              <w:right w:type="dxa" w:w="110"/>
            </w:tcMar>
            <w:vAlign w:val="center"/>
          </w:tcPr>
          <w:p>
            <w:pPr>
              <w:spacing w:after="0"/>
            </w:pPr>
            <w:r>
              <w:rPr>
                <w:b w:val="false"/>
                <w:bCs w:val="false"/>
                <w:sz w:val="17"/>
                <w:szCs w:val="17"/>
              </w:rPr>
              <w:t xml:space="preserve">A UF sai do código IBGE (divergência vira marcação); a população da União fica como veio, marcada, e nunca entra em grupo de pares</w:t>
            </w:r>
          </w:p>
        </w:tc>
      </w:tr>
      <w:tr>
        <w:trPr>
          <w:cantSplit/>
        </w:trPr>
        <w:tc>
          <w:tcPr>
            <w:tcW w:type="dxa" w:w="4600"/>
            <w:shd w:fill="FFFFFF" w:val="clear"/>
            <w:tcMar>
              <w:top w:type="dxa" w:w="70"/>
              <w:left w:type="dxa" w:w="110"/>
              <w:bottom w:type="dxa" w:w="70"/>
              <w:right w:type="dxa" w:w="110"/>
            </w:tcMar>
            <w:vAlign w:val="center"/>
          </w:tcPr>
          <w:p>
            <w:pPr>
              <w:spacing w:after="0"/>
            </w:pPr>
            <w:r>
              <w:rPr>
                <w:b w:val="false"/>
                <w:bCs w:val="false"/>
                <w:sz w:val="17"/>
                <w:szCs w:val="17"/>
              </w:rPr>
              <w:t xml:space="preserve">/extrato_entregas diz o que cada ente entregou num exercício</w:t>
            </w:r>
          </w:p>
        </w:tc>
        <w:tc>
          <w:tcPr>
            <w:tcW w:type="dxa" w:w="5000"/>
            <w:shd w:fill="FFFFFF" w:val="clear"/>
            <w:tcMar>
              <w:top w:type="dxa" w:w="70"/>
              <w:left w:type="dxa" w:w="110"/>
              <w:bottom w:type="dxa" w:w="70"/>
              <w:right w:type="dxa" w:w="110"/>
            </w:tcMar>
            <w:vAlign w:val="center"/>
          </w:tcPr>
          <w:p>
            <w:pPr>
              <w:spacing w:after="0"/>
            </w:pPr>
            <w:r>
              <w:rPr>
                <w:b w:val="false"/>
                <w:bCs w:val="false"/>
                <w:sz w:val="17"/>
                <w:szCs w:val="17"/>
              </w:rPr>
              <w:t xml:space="preserve">Origem da lista de ausentes (família I, RF-CF-01)</w:t>
            </w:r>
          </w:p>
        </w:tc>
      </w:tr>
      <w:tr>
        <w:trPr>
          <w:cantSplit/>
        </w:trPr>
        <w:tc>
          <w:tcPr>
            <w:tcW w:type="dxa" w:w="4600"/>
            <w:shd w:fill="F2F2F2" w:val="clear"/>
            <w:tcMar>
              <w:top w:type="dxa" w:w="70"/>
              <w:left w:type="dxa" w:w="110"/>
              <w:bottom w:type="dxa" w:w="70"/>
              <w:right w:type="dxa" w:w="110"/>
            </w:tcMar>
            <w:vAlign w:val="center"/>
          </w:tcPr>
          <w:p>
            <w:pPr>
              <w:spacing w:after="0"/>
            </w:pPr>
            <w:r>
              <w:rPr>
                <w:b w:val="false"/>
                <w:bCs w:val="false"/>
                <w:sz w:val="17"/>
                <w:szCs w:val="17"/>
              </w:rPr>
              <w:t xml:space="preserve">/rreo exige o tipo do demonstrativo: RREO ou RREO Simplificado (municípios com menos de 50 mil habitantes podem optar, LRF art. 63), e cada ente publica só um. O porte não diz qual: em 2025, quase todos os pequenos de Roraima e do Amapá publicaram o completo</w:t>
            </w:r>
          </w:p>
        </w:tc>
        <w:tc>
          <w:tcPr>
            <w:tcW w:type="dxa" w:w="5000"/>
            <w:shd w:fill="F2F2F2" w:val="clear"/>
            <w:tcMar>
              <w:top w:type="dxa" w:w="70"/>
              <w:left w:type="dxa" w:w="110"/>
              <w:bottom w:type="dxa" w:w="70"/>
              <w:right w:type="dxa" w:w="110"/>
            </w:tcMar>
            <w:vAlign w:val="center"/>
          </w:tcPr>
          <w:p>
            <w:pPr>
              <w:spacing w:after="0"/>
            </w:pPr>
            <w:r>
              <w:rPr>
                <w:b w:val="false"/>
                <w:bCs w:val="false"/>
                <w:sz w:val="17"/>
                <w:szCs w:val="17"/>
              </w:rPr>
              <w:t xml:space="preserve">O tipo vem do extrato de entregas ("Relatório Resumido de Execução Orçamentária" ou "… Simplificado", no 6º bimestre); uma consulta por ente</w:t>
            </w:r>
          </w:p>
        </w:tc>
      </w:tr>
      <w:tr>
        <w:trPr>
          <w:cantSplit/>
        </w:trPr>
        <w:tc>
          <w:tcPr>
            <w:tcW w:type="dxa" w:w="4600"/>
            <w:shd w:fill="FFFFFF" w:val="clear"/>
            <w:tcMar>
              <w:top w:type="dxa" w:w="70"/>
              <w:left w:type="dxa" w:w="110"/>
              <w:bottom w:type="dxa" w:w="70"/>
              <w:right w:type="dxa" w:w="110"/>
            </w:tcMar>
            <w:vAlign w:val="center"/>
          </w:tcPr>
          <w:p>
            <w:pPr>
              <w:spacing w:after="0"/>
            </w:pPr>
            <w:r>
              <w:rPr>
                <w:b w:val="false"/>
                <w:bCs w:val="false"/>
                <w:sz w:val="17"/>
                <w:szCs w:val="17"/>
              </w:rPr>
              <w:t xml:space="preserve">/dca, Anexo I-E: despesa por função de cada ano, de 2014 em diante (2013 vem vazio); até 2016 o total se chama "Despesas (Exceto Intraorçamentárias)", com parênteses</w:t>
            </w:r>
          </w:p>
        </w:tc>
        <w:tc>
          <w:tcPr>
            <w:tcW w:type="dxa" w:w="5000"/>
            <w:shd w:fill="FFFFFF" w:val="clear"/>
            <w:tcMar>
              <w:top w:type="dxa" w:w="70"/>
              <w:left w:type="dxa" w:w="110"/>
              <w:bottom w:type="dxa" w:w="70"/>
              <w:right w:type="dxa" w:w="110"/>
            </w:tcMar>
            <w:vAlign w:val="center"/>
          </w:tcPr>
          <w:p>
            <w:pPr>
              <w:spacing w:after="0"/>
            </w:pPr>
            <w:r>
              <w:rPr>
                <w:b w:val="false"/>
                <w:bCs w:val="false"/>
                <w:sz w:val="17"/>
                <w:szCs w:val="17"/>
              </w:rPr>
              <w:t xml:space="preserve">Lida sob demanda no portal, pelo endereço /api/siconfi/dca, que a Vercel repassa (a API não aceita pedido de outro site): governos municipais (ADR-040)</w:t>
            </w:r>
          </w:p>
        </w:tc>
      </w:tr>
      <w:tr>
        <w:trPr>
          <w:cantSplit/>
        </w:trPr>
        <w:tc>
          <w:tcPr>
            <w:tcW w:type="dxa" w:w="4600"/>
            <w:shd w:fill="F2F2F2" w:val="clear"/>
            <w:tcMar>
              <w:top w:type="dxa" w:w="70"/>
              <w:left w:type="dxa" w:w="110"/>
              <w:bottom w:type="dxa" w:w="70"/>
              <w:right w:type="dxa" w:w="110"/>
            </w:tcMar>
            <w:vAlign w:val="center"/>
          </w:tcPr>
          <w:p>
            <w:pPr>
              <w:spacing w:after="0"/>
            </w:pPr>
            <w:r>
              <w:rPr>
                <w:b w:val="false"/>
                <w:bCs w:val="false"/>
                <w:sz w:val="17"/>
                <w:szCs w:val="17"/>
              </w:rPr>
              <w:t xml:space="preserve">RREO da União (id_ente=1), Anexo 1: receita realizada (coluna "Até o Bimestre (c)") de 2015 em diante; o nome das contas muda, o código não; o bloco das intraorçamentárias tem códigos próprios</w:t>
            </w:r>
          </w:p>
        </w:tc>
        <w:tc>
          <w:tcPr>
            <w:tcW w:type="dxa" w:w="5000"/>
            <w:shd w:fill="F2F2F2" w:val="clear"/>
            <w:tcMar>
              <w:top w:type="dxa" w:w="70"/>
              <w:left w:type="dxa" w:w="110"/>
              <w:bottom w:type="dxa" w:w="70"/>
              <w:right w:type="dxa" w:w="110"/>
            </w:tcMar>
            <w:vAlign w:val="center"/>
          </w:tcPr>
          <w:p>
            <w:pPr>
              <w:spacing w:after="0"/>
            </w:pPr>
            <w:r>
              <w:rPr>
                <w:b w:val="false"/>
                <w:bCs w:val="false"/>
                <w:sz w:val="17"/>
                <w:szCs w:val="17"/>
              </w:rPr>
              <w:t xml:space="preserve">As partes da receita corrente somam o total (conferido em toda leitura); em bilhões de reais corrigidos pelo IPCA na Economia (ADR-033)</w:t>
            </w:r>
          </w:p>
        </w:tc>
      </w:tr>
      <w:tr>
        <w:trPr>
          <w:cantSplit/>
        </w:trPr>
        <w:tc>
          <w:tcPr>
            <w:tcW w:type="dxa" w:w="4600"/>
            <w:shd w:fill="FFFFFF" w:val="clear"/>
            <w:tcMar>
              <w:top w:type="dxa" w:w="70"/>
              <w:left w:type="dxa" w:w="110"/>
              <w:bottom w:type="dxa" w:w="70"/>
              <w:right w:type="dxa" w:w="110"/>
            </w:tcMar>
            <w:vAlign w:val="center"/>
          </w:tcPr>
          <w:p>
            <w:pPr>
              <w:spacing w:after="0"/>
            </w:pPr>
            <w:r>
              <w:rPr>
                <w:b w:val="false"/>
                <w:bCs w:val="false"/>
                <w:sz w:val="17"/>
                <w:szCs w:val="17"/>
              </w:rPr>
              <w:t xml:space="preserve">RREO da União (id_ente=1), Anexo 2: despesa por função de 2015 em diante; funções e subfunções na mesma lista, sem marcação; a coluna da liquidada mudou de nome em 2016 e, depois, as funções se repetem num bloco das intraorçamentárias</w:t>
            </w:r>
          </w:p>
        </w:tc>
        <w:tc>
          <w:tcPr>
            <w:tcW w:type="dxa" w:w="5000"/>
            <w:shd w:fill="FFFFFF" w:val="clear"/>
            <w:tcMar>
              <w:top w:type="dxa" w:w="70"/>
              <w:left w:type="dxa" w:w="110"/>
              <w:bottom w:type="dxa" w:w="70"/>
              <w:right w:type="dxa" w:w="110"/>
            </w:tcMar>
            <w:vAlign w:val="center"/>
          </w:tcPr>
          <w:p>
            <w:pPr>
              <w:spacing w:after="0"/>
            </w:pPr>
            <w:r>
              <w:rPr>
                <w:b w:val="false"/>
                <w:bCs w:val="false"/>
                <w:sz w:val="17"/>
                <w:szCs w:val="17"/>
              </w:rPr>
              <w:t xml:space="preserve">As 28 funções da Portaria 42/1999 somam o total (conferido em toda leitura); em bilhões de reais corrigidos pelo IPCA na Economia (ADR-033)</w:t>
            </w:r>
          </w:p>
        </w:tc>
      </w:tr>
      <w:tr>
        <w:trPr>
          <w:cantSplit/>
        </w:trPr>
        <w:tc>
          <w:tcPr>
            <w:tcW w:type="dxa" w:w="4600"/>
            <w:shd w:fill="F2F2F2" w:val="clear"/>
            <w:tcMar>
              <w:top w:type="dxa" w:w="70"/>
              <w:left w:type="dxa" w:w="110"/>
              <w:bottom w:type="dxa" w:w="70"/>
              <w:right w:type="dxa" w:w="110"/>
            </w:tcMar>
            <w:vAlign w:val="center"/>
          </w:tcPr>
          <w:p>
            <w:pPr>
              <w:spacing w:after="0"/>
            </w:pPr>
            <w:r>
              <w:rPr>
                <w:b w:val="false"/>
                <w:bCs w:val="false"/>
                <w:sz w:val="17"/>
                <w:szCs w:val="17"/>
              </w:rPr>
              <w:t xml:space="preserve">A RCL fica no Anexo 03, conta RREO3ReceitaCorrenteLiquida, coluna TOTAL (ÚLTIMOS 12 MESES); a resposta do anexo tem perto de 430 linhas por ente, com valores numéricos</w:t>
            </w:r>
          </w:p>
        </w:tc>
        <w:tc>
          <w:tcPr>
            <w:tcW w:type="dxa" w:w="5000"/>
            <w:shd w:fill="F2F2F2" w:val="clear"/>
            <w:tcMar>
              <w:top w:type="dxa" w:w="70"/>
              <w:left w:type="dxa" w:w="110"/>
              <w:bottom w:type="dxa" w:w="70"/>
              <w:right w:type="dxa" w:w="110"/>
            </w:tcMar>
            <w:vAlign w:val="center"/>
          </w:tcPr>
          <w:p>
            <w:pPr>
              <w:spacing w:after="0"/>
            </w:pPr>
            <w:r>
              <w:rPr>
                <w:b w:val="false"/>
                <w:bCs w:val="false"/>
                <w:sz w:val="17"/>
                <w:szCs w:val="17"/>
              </w:rPr>
              <w:t xml:space="preserve">Cada linha vira LinhaDemonstrativo; a RCL do exercício anterior entra nos grupos de pares (ADR-038, versão 2)</w:t>
            </w:r>
          </w:p>
        </w:tc>
      </w:tr>
    </w:tbl>
    <w:p>
      <w:pPr>
        <w:spacing w:after="120"/>
      </w:pPr>
      <w:r>
        <w:rPr>
          <w:b w:val="false"/>
          <w:bCs w:val="false"/>
          <w:i w:val="false"/>
          <w:iCs w:val="false"/>
        </w:rPr>
        <w:t xml:space="preserve">Limite padrão do Lumen: 50 requisições por minuto, abaixo da recomendação do Tesouro de cerca de uma por segundo.</w:t>
      </w:r>
    </w:p>
    <w:tbl>
      <w:tblPr>
        <w:tblW w:type="dxa" w:w="9600"/>
        <w:tblBorders>
          <w:top w:val="single" w:color="BF8F00" w:sz="6"/>
          <w:left w:val="single" w:color="BF8F00" w:sz="18"/>
          <w:bottom w:val="single" w:color="BF8F00" w:sz="6"/>
          <w:right w:val="single" w:color="BF8F00" w:sz="6"/>
          <w:insideH w:val="none" w:color="FFFFFF" w:sz="0"/>
          <w:insideV w:val="none" w:color="FFFFFF" w:sz="0"/>
        </w:tblBorders>
      </w:tblPr>
      <w:tblGrid>
        <w:gridCol w:w="9600"/>
      </w:tblGrid>
      <w:tr>
        <w:trPr>
          <w:cantSplit/>
        </w:trPr>
        <w:tc>
          <w:tcPr>
            <w:tcW w:type="dxa" w:w="9600"/>
            <w:shd w:fill="FFF6E0" w:val="clear"/>
            <w:tcMar>
              <w:top w:type="dxa" w:w="130"/>
              <w:left w:type="dxa" w:w="170"/>
              <w:bottom w:type="dxa" w:w="130"/>
              <w:right w:type="dxa" w:w="150"/>
            </w:tcMar>
          </w:tcPr>
          <w:p>
            <w:pPr>
              <w:spacing w:after="90"/>
            </w:pPr>
            <w:r>
              <w:rPr>
                <w:b/>
                <w:bCs/>
                <w:color w:val="000000"/>
              </w:rPr>
              <w:t xml:space="preserve">A lacuna do SICONFI também é dado</w:t>
            </w:r>
          </w:p>
          <w:p>
            <w:pPr>
              <w:spacing w:after="70"/>
            </w:pPr>
            <w:r>
              <w:t xml:space="preserve">As consolidações do Tesouro cobrem a maior parte dos municípios brasileiros, mas não todos. Os entes ausentes em um dado exercício são, por definição, entes que não cumpriram uma obrigação legal de envio. Essa lista de ausentes é coletada e alimenta diretamente o módulo de conformidade, e constitui o sinal de descumprimento mais objetivo e menos contestável que o sistema produz.</w:t>
            </w:r>
          </w:p>
        </w:tc>
      </w:tr>
    </w:tbl>
    <w:p>
      <w:pPr>
        <w:pStyle w:val="Heading2"/>
        <w:keepNext/>
        <w:keepLines/>
        <w:spacing w:after="120" w:before="280"/>
      </w:pPr>
      <w:bookmarkStart w:name="_Toc9" w:id="9"/>
      <w:r>
        <w:t xml:space="preserve">2.3 Portal da Transparência — CGU</w:t>
      </w:r>
      <w:bookmarkEnd w:id="9"/>
    </w:p>
    <w:tbl>
      <w:tblPr>
        <w:tblW w:type="dxa" w:w="9600"/>
        <w:tblBorders>
          <w:top w:val="single" w:color="BFBFBF" w:sz="4"/>
          <w:left w:val="single" w:color="BFBFBF" w:sz="4"/>
          <w:bottom w:val="single" w:color="BFBFBF" w:sz="4"/>
          <w:right w:val="single" w:color="BFBFBF" w:sz="4"/>
          <w:insideH w:val="single" w:color="D9D9D9" w:sz="2"/>
          <w:insideV w:val="single" w:color="D9D9D9" w:sz="2"/>
        </w:tblBorders>
      </w:tblPr>
      <w:tblGrid>
        <w:gridCol w:w="2200"/>
        <w:gridCol w:w="7400"/>
      </w:tblGrid>
      <w:tr>
        <w:trPr>
          <w:cantSplit/>
        </w:trPr>
        <w:tc>
          <w:tcPr>
            <w:tcW w:type="dxa" w:w="2200"/>
            <w:shd w:fill="FFFFFF" w:val="clear"/>
            <w:tcMar>
              <w:top w:type="dxa" w:w="70"/>
              <w:left w:type="dxa" w:w="110"/>
              <w:bottom w:type="dxa" w:w="70"/>
              <w:right w:type="dxa" w:w="110"/>
            </w:tcMar>
            <w:vAlign w:val="center"/>
          </w:tcPr>
          <w:p>
            <w:pPr>
              <w:spacing w:after="0"/>
            </w:pPr>
            <w:r>
              <w:rPr>
                <w:b/>
                <w:bCs/>
                <w:sz w:val="19"/>
                <w:szCs w:val="19"/>
              </w:rPr>
              <w:t xml:space="preserve">Operador</w:t>
            </w:r>
          </w:p>
        </w:tc>
        <w:tc>
          <w:tcPr>
            <w:tcW w:type="dxa" w:w="7400"/>
            <w:shd w:fill="FFFFFF" w:val="clear"/>
            <w:tcMar>
              <w:top w:type="dxa" w:w="70"/>
              <w:left w:type="dxa" w:w="110"/>
              <w:bottom w:type="dxa" w:w="70"/>
              <w:right w:type="dxa" w:w="110"/>
            </w:tcMar>
            <w:vAlign w:val="center"/>
          </w:tcPr>
          <w:p>
            <w:pPr>
              <w:spacing w:after="0"/>
            </w:pPr>
            <w:r>
              <w:rPr>
                <w:b w:val="false"/>
                <w:bCs w:val="false"/>
                <w:sz w:val="19"/>
                <w:szCs w:val="19"/>
              </w:rPr>
              <w:t xml:space="preserve">Controladoria-Geral da União</w:t>
            </w:r>
          </w:p>
        </w:tc>
      </w:tr>
      <w:tr>
        <w:trPr>
          <w:cantSplit/>
        </w:trPr>
        <w:tc>
          <w:tcPr>
            <w:tcW w:type="dxa" w:w="2200"/>
            <w:shd w:fill="F2F2F2" w:val="clear"/>
            <w:tcMar>
              <w:top w:type="dxa" w:w="70"/>
              <w:left w:type="dxa" w:w="110"/>
              <w:bottom w:type="dxa" w:w="70"/>
              <w:right w:type="dxa" w:w="110"/>
            </w:tcMar>
            <w:vAlign w:val="center"/>
          </w:tcPr>
          <w:p>
            <w:pPr>
              <w:spacing w:after="0"/>
            </w:pPr>
            <w:r>
              <w:rPr>
                <w:b/>
                <w:bCs/>
                <w:sz w:val="19"/>
                <w:szCs w:val="19"/>
              </w:rPr>
              <w:t xml:space="preserve">Endpoint da API</w:t>
            </w:r>
          </w:p>
        </w:tc>
        <w:tc>
          <w:tcPr>
            <w:tcW w:type="dxa" w:w="7400"/>
            <w:shd w:fill="F2F2F2" w:val="clear"/>
            <w:tcMar>
              <w:top w:type="dxa" w:w="70"/>
              <w:left w:type="dxa" w:w="110"/>
              <w:bottom w:type="dxa" w:w="70"/>
              <w:right w:type="dxa" w:w="110"/>
            </w:tcMar>
            <w:vAlign w:val="center"/>
          </w:tcPr>
          <w:p>
            <w:pPr>
              <w:spacing w:after="0"/>
            </w:pPr>
            <w:r>
              <w:rPr>
                <w:b w:val="false"/>
                <w:bCs w:val="false"/>
                <w:sz w:val="19"/>
                <w:szCs w:val="19"/>
              </w:rPr>
              <w:t xml:space="preserve">https://api.portaldatransparencia.gov.br (cabeçalho chave-api-dados; 15 registros por página)</w:t>
            </w:r>
          </w:p>
        </w:tc>
      </w:tr>
      <w:tr>
        <w:trPr>
          <w:cantSplit/>
        </w:trPr>
        <w:tc>
          <w:tcPr>
            <w:tcW w:type="dxa" w:w="2200"/>
            <w:shd w:fill="FFFFFF" w:val="clear"/>
            <w:tcMar>
              <w:top w:type="dxa" w:w="70"/>
              <w:left w:type="dxa" w:w="110"/>
              <w:bottom w:type="dxa" w:w="70"/>
              <w:right w:type="dxa" w:w="110"/>
            </w:tcMar>
            <w:vAlign w:val="center"/>
          </w:tcPr>
          <w:p>
            <w:pPr>
              <w:spacing w:after="0"/>
            </w:pPr>
            <w:r>
              <w:rPr>
                <w:b/>
                <w:bCs/>
                <w:sz w:val="19"/>
                <w:szCs w:val="19"/>
              </w:rPr>
              <w:t xml:space="preserve">Arquivos de dados abertos</w:t>
            </w:r>
          </w:p>
        </w:tc>
        <w:tc>
          <w:tcPr>
            <w:tcW w:type="dxa" w:w="7400"/>
            <w:shd w:fill="FFFFFF" w:val="clear"/>
            <w:tcMar>
              <w:top w:type="dxa" w:w="70"/>
              <w:left w:type="dxa" w:w="110"/>
              <w:bottom w:type="dxa" w:w="70"/>
              <w:right w:type="dxa" w:w="110"/>
            </w:tcMar>
            <w:vAlign w:val="center"/>
          </w:tcPr>
          <w:p>
            <w:pPr>
              <w:spacing w:after="0"/>
            </w:pPr>
            <w:r>
              <w:rPr>
                <w:b w:val="false"/>
                <w:bCs w:val="false"/>
                <w:sz w:val="19"/>
                <w:szCs w:val="19"/>
              </w:rPr>
              <w:t xml:space="preserve">https://portaldatransparencia.gov.br/download-de-dados/&lt;conjunto&gt;/AAAAMMDD, que redireciona para dadosabertos-download.cgu.gov.br; ZIP com um CSV em ISO-8859-1, separado por ;</w:t>
            </w:r>
          </w:p>
        </w:tc>
      </w:tr>
      <w:tr>
        <w:trPr>
          <w:cantSplit/>
        </w:trPr>
        <w:tc>
          <w:tcPr>
            <w:tcW w:type="dxa" w:w="2200"/>
            <w:shd w:fill="F2F2F2" w:val="clear"/>
            <w:tcMar>
              <w:top w:type="dxa" w:w="70"/>
              <w:left w:type="dxa" w:w="110"/>
              <w:bottom w:type="dxa" w:w="70"/>
              <w:right w:type="dxa" w:w="110"/>
            </w:tcMar>
            <w:vAlign w:val="center"/>
          </w:tcPr>
          <w:p>
            <w:pPr>
              <w:spacing w:after="0"/>
            </w:pPr>
            <w:r>
              <w:rPr>
                <w:b/>
                <w:bCs/>
                <w:sz w:val="19"/>
                <w:szCs w:val="19"/>
              </w:rPr>
              <w:t xml:space="preserve">Autenticação</w:t>
            </w:r>
          </w:p>
        </w:tc>
        <w:tc>
          <w:tcPr>
            <w:tcW w:type="dxa" w:w="7400"/>
            <w:shd w:fill="F2F2F2" w:val="clear"/>
            <w:tcMar>
              <w:top w:type="dxa" w:w="70"/>
              <w:left w:type="dxa" w:w="110"/>
              <w:bottom w:type="dxa" w:w="70"/>
              <w:right w:type="dxa" w:w="110"/>
            </w:tcMar>
            <w:vAlign w:val="center"/>
          </w:tcPr>
          <w:p>
            <w:pPr>
              <w:spacing w:after="0"/>
            </w:pPr>
            <w:r>
              <w:rPr>
                <w:b w:val="false"/>
                <w:bCs w:val="false"/>
                <w:sz w:val="19"/>
                <w:szCs w:val="19"/>
              </w:rPr>
              <w:t xml:space="preserve">API: token gratuito, obtido por cadastro de e-mail. Arquivos: nenhuma</w:t>
            </w:r>
          </w:p>
        </w:tc>
      </w:tr>
      <w:tr>
        <w:trPr>
          <w:cantSplit/>
        </w:trPr>
        <w:tc>
          <w:tcPr>
            <w:tcW w:type="dxa" w:w="2200"/>
            <w:shd w:fill="FFFFFF" w:val="clear"/>
            <w:tcMar>
              <w:top w:type="dxa" w:w="70"/>
              <w:left w:type="dxa" w:w="110"/>
              <w:bottom w:type="dxa" w:w="70"/>
              <w:right w:type="dxa" w:w="110"/>
            </w:tcMar>
            <w:vAlign w:val="center"/>
          </w:tcPr>
          <w:p>
            <w:pPr>
              <w:spacing w:after="0"/>
            </w:pPr>
            <w:r>
              <w:rPr>
                <w:b/>
                <w:bCs/>
                <w:sz w:val="19"/>
                <w:szCs w:val="19"/>
              </w:rPr>
              <w:t xml:space="preserve">Limite de taxa</w:t>
            </w:r>
          </w:p>
        </w:tc>
        <w:tc>
          <w:tcPr>
            <w:tcW w:type="dxa" w:w="7400"/>
            <w:shd w:fill="FFFFFF" w:val="clear"/>
            <w:tcMar>
              <w:top w:type="dxa" w:w="70"/>
              <w:left w:type="dxa" w:w="110"/>
              <w:bottom w:type="dxa" w:w="70"/>
              <w:right w:type="dxa" w:w="110"/>
            </w:tcMar>
            <w:vAlign w:val="center"/>
          </w:tcPr>
          <w:p>
            <w:pPr>
              <w:spacing w:after="0"/>
            </w:pPr>
            <w:r>
              <w:rPr>
                <w:b w:val="false"/>
                <w:bCs w:val="false"/>
                <w:sz w:val="19"/>
                <w:szCs w:val="19"/>
              </w:rPr>
              <w:t xml:space="preserve">API: 400 requisições por minuto entre 6h e 23h59; 700 entre 0h e 5h59. Arquivos: o Lumen faz duas requisições por cadastro e por dia, com limite de 10 por minuto</w:t>
            </w:r>
          </w:p>
        </w:tc>
      </w:tr>
      <w:tr>
        <w:trPr>
          <w:cantSplit/>
        </w:trPr>
        <w:tc>
          <w:tcPr>
            <w:tcW w:type="dxa" w:w="2200"/>
            <w:shd w:fill="F2F2F2" w:val="clear"/>
            <w:tcMar>
              <w:top w:type="dxa" w:w="70"/>
              <w:left w:type="dxa" w:w="110"/>
              <w:bottom w:type="dxa" w:w="70"/>
              <w:right w:type="dxa" w:w="110"/>
            </w:tcMar>
            <w:vAlign w:val="center"/>
          </w:tcPr>
          <w:p>
            <w:pPr>
              <w:spacing w:after="0"/>
            </w:pPr>
            <w:r>
              <w:rPr>
                <w:b/>
                <w:bCs/>
                <w:sz w:val="19"/>
                <w:szCs w:val="19"/>
              </w:rPr>
              <w:t xml:space="preserve">Base legal de uso</w:t>
            </w:r>
          </w:p>
        </w:tc>
        <w:tc>
          <w:tcPr>
            <w:tcW w:type="dxa" w:w="7400"/>
            <w:shd w:fill="F2F2F2" w:val="clear"/>
            <w:tcMar>
              <w:top w:type="dxa" w:w="70"/>
              <w:left w:type="dxa" w:w="110"/>
              <w:bottom w:type="dxa" w:w="70"/>
              <w:right w:type="dxa" w:w="110"/>
            </w:tcMar>
            <w:vAlign w:val="center"/>
          </w:tcPr>
          <w:p>
            <w:pPr>
              <w:spacing w:after="0"/>
            </w:pPr>
            <w:r>
              <w:rPr>
                <w:b w:val="false"/>
                <w:bCs w:val="false"/>
                <w:sz w:val="19"/>
                <w:szCs w:val="19"/>
              </w:rPr>
              <w:t xml:space="preserve">Livre utilização conforme o Decreto 8.777/2016</w:t>
            </w:r>
          </w:p>
        </w:tc>
      </w:tr>
      <w:tr>
        <w:trPr>
          <w:cantSplit/>
        </w:trPr>
        <w:tc>
          <w:tcPr>
            <w:tcW w:type="dxa" w:w="2200"/>
            <w:shd w:fill="FFFFFF" w:val="clear"/>
            <w:tcMar>
              <w:top w:type="dxa" w:w="70"/>
              <w:left w:type="dxa" w:w="110"/>
              <w:bottom w:type="dxa" w:w="70"/>
              <w:right w:type="dxa" w:w="110"/>
            </w:tcMar>
            <w:vAlign w:val="center"/>
          </w:tcPr>
          <w:p>
            <w:pPr>
              <w:spacing w:after="0"/>
            </w:pPr>
            <w:r>
              <w:rPr>
                <w:b/>
                <w:bCs/>
                <w:sz w:val="19"/>
                <w:szCs w:val="19"/>
              </w:rPr>
              <w:t xml:space="preserve">Recomendação oficial</w:t>
            </w:r>
          </w:p>
        </w:tc>
        <w:tc>
          <w:tcPr>
            <w:tcW w:type="dxa" w:w="7400"/>
            <w:shd w:fill="FFFFFF" w:val="clear"/>
            <w:tcMar>
              <w:top w:type="dxa" w:w="70"/>
              <w:left w:type="dxa" w:w="110"/>
              <w:bottom w:type="dxa" w:w="70"/>
              <w:right w:type="dxa" w:w="110"/>
            </w:tcMar>
            <w:vAlign w:val="center"/>
          </w:tcPr>
          <w:p>
            <w:pPr>
              <w:spacing w:after="0"/>
            </w:pPr>
            <w:r>
              <w:rPr>
                <w:b w:val="false"/>
                <w:bCs w:val="false"/>
                <w:sz w:val="19"/>
                <w:szCs w:val="19"/>
              </w:rPr>
              <w:t xml:space="preserve">Para volume alto, usar os arquivos de dados abertos em vez da API</w:t>
            </w:r>
          </w:p>
        </w:tc>
      </w:tr>
    </w:tbl>
    <w:tbl>
      <w:tblPr>
        <w:tblW w:type="dxa" w:w="9600"/>
        <w:tblBorders>
          <w:top w:val="single" w:color="BFBFBF" w:sz="4"/>
          <w:left w:val="single" w:color="BFBFBF" w:sz="4"/>
          <w:bottom w:val="single" w:color="BFBFBF" w:sz="4"/>
          <w:right w:val="single" w:color="BFBFBF" w:sz="4"/>
          <w:insideH w:val="single" w:color="D9D9D9" w:sz="2"/>
          <w:insideV w:val="single" w:color="D9D9D9" w:sz="2"/>
        </w:tblBorders>
      </w:tblPr>
      <w:tblGrid>
        <w:gridCol w:w="2200"/>
        <w:gridCol w:w="3600"/>
        <w:gridCol w:w="3800"/>
      </w:tblGrid>
      <w:tr>
        <w:trPr>
          <w:tblHeader/>
        </w:trPr>
        <w:tc>
          <w:tcPr>
            <w:tcW w:type="dxa" w:w="2200"/>
            <w:shd w:fill="1F3864" w:val="clear"/>
            <w:tcMar>
              <w:top w:type="dxa" w:w="80"/>
              <w:left w:type="dxa" w:w="110"/>
              <w:bottom w:type="dxa" w:w="80"/>
              <w:right w:type="dxa" w:w="110"/>
            </w:tcMar>
            <w:vAlign w:val="center"/>
          </w:tcPr>
          <w:p>
            <w:pPr>
              <w:spacing w:after="0"/>
            </w:pPr>
            <w:r>
              <w:rPr>
                <w:b/>
                <w:bCs/>
                <w:color w:val="FFFFFF"/>
                <w:sz w:val="19"/>
                <w:szCs w:val="19"/>
              </w:rPr>
              <w:t xml:space="preserve">Conjunto</w:t>
            </w:r>
          </w:p>
        </w:tc>
        <w:tc>
          <w:tcPr>
            <w:tcW w:type="dxa" w:w="3600"/>
            <w:shd w:fill="1F3864" w:val="clear"/>
            <w:tcMar>
              <w:top w:type="dxa" w:w="80"/>
              <w:left w:type="dxa" w:w="110"/>
              <w:bottom w:type="dxa" w:w="80"/>
              <w:right w:type="dxa" w:w="110"/>
            </w:tcMar>
            <w:vAlign w:val="center"/>
          </w:tcPr>
          <w:p>
            <w:pPr>
              <w:spacing w:after="0"/>
            </w:pPr>
            <w:r>
              <w:rPr>
                <w:b/>
                <w:bCs/>
                <w:color w:val="FFFFFF"/>
                <w:sz w:val="19"/>
                <w:szCs w:val="19"/>
              </w:rPr>
              <w:t xml:space="preserve">Conteúdo</w:t>
            </w:r>
          </w:p>
        </w:tc>
        <w:tc>
          <w:tcPr>
            <w:tcW w:type="dxa" w:w="3800"/>
            <w:shd w:fill="1F3864" w:val="clear"/>
            <w:tcMar>
              <w:top w:type="dxa" w:w="80"/>
              <w:left w:type="dxa" w:w="110"/>
              <w:bottom w:type="dxa" w:w="80"/>
              <w:right w:type="dxa" w:w="110"/>
            </w:tcMar>
            <w:vAlign w:val="center"/>
          </w:tcPr>
          <w:p>
            <w:pPr>
              <w:spacing w:after="0"/>
            </w:pPr>
            <w:r>
              <w:rPr>
                <w:b/>
                <w:bCs/>
                <w:color w:val="FFFFFF"/>
                <w:sz w:val="19"/>
                <w:szCs w:val="19"/>
              </w:rPr>
              <w:t xml:space="preserve">Uso no Lumen</w:t>
            </w:r>
          </w:p>
        </w:tc>
      </w:tr>
      <w:tr>
        <w:trPr>
          <w:cantSplit/>
        </w:trPr>
        <w:tc>
          <w:tcPr>
            <w:tcW w:type="dxa" w:w="2200"/>
            <w:shd w:fill="FFFFFF" w:val="clear"/>
            <w:tcMar>
              <w:top w:type="dxa" w:w="70"/>
              <w:left w:type="dxa" w:w="110"/>
              <w:bottom w:type="dxa" w:w="70"/>
              <w:right w:type="dxa" w:w="110"/>
            </w:tcMar>
            <w:vAlign w:val="center"/>
          </w:tcPr>
          <w:p>
            <w:pPr>
              <w:spacing w:after="0"/>
            </w:pPr>
            <w:r>
              <w:rPr>
                <w:b w:val="false"/>
                <w:bCs w:val="false"/>
                <w:sz w:val="19"/>
                <w:szCs w:val="19"/>
              </w:rPr>
              <w:t xml:space="preserve">Despesas públicas</w:t>
            </w:r>
          </w:p>
        </w:tc>
        <w:tc>
          <w:tcPr>
            <w:tcW w:type="dxa" w:w="3600"/>
            <w:shd w:fill="FFFFFF" w:val="clear"/>
            <w:tcMar>
              <w:top w:type="dxa" w:w="70"/>
              <w:left w:type="dxa" w:w="110"/>
              <w:bottom w:type="dxa" w:w="70"/>
              <w:right w:type="dxa" w:w="110"/>
            </w:tcMar>
            <w:vAlign w:val="center"/>
          </w:tcPr>
          <w:p>
            <w:pPr>
              <w:spacing w:after="0"/>
            </w:pPr>
            <w:r>
              <w:rPr>
                <w:b w:val="false"/>
                <w:bCs w:val="false"/>
                <w:sz w:val="19"/>
                <w:szCs w:val="19"/>
              </w:rPr>
              <w:t xml:space="preserve">Documentos de despesa do Executivo federal</w:t>
            </w:r>
          </w:p>
        </w:tc>
        <w:tc>
          <w:tcPr>
            <w:tcW w:type="dxa" w:w="3800"/>
            <w:shd w:fill="FFFFFF" w:val="clear"/>
            <w:tcMar>
              <w:top w:type="dxa" w:w="70"/>
              <w:left w:type="dxa" w:w="110"/>
              <w:bottom w:type="dxa" w:w="70"/>
              <w:right w:type="dxa" w:w="110"/>
            </w:tcMar>
            <w:vAlign w:val="center"/>
          </w:tcPr>
          <w:p>
            <w:pPr>
              <w:spacing w:after="0"/>
            </w:pPr>
            <w:r>
              <w:rPr>
                <w:b w:val="false"/>
                <w:bCs w:val="false"/>
                <w:sz w:val="19"/>
                <w:szCs w:val="19"/>
              </w:rPr>
              <w:t xml:space="preserve">Cadeia de empenho, liquidação e pagamento</w:t>
            </w:r>
          </w:p>
        </w:tc>
      </w:tr>
      <w:tr>
        <w:trPr>
          <w:cantSplit/>
        </w:trPr>
        <w:tc>
          <w:tcPr>
            <w:tcW w:type="dxa" w:w="2200"/>
            <w:shd w:fill="F2F2F2" w:val="clear"/>
            <w:tcMar>
              <w:top w:type="dxa" w:w="70"/>
              <w:left w:type="dxa" w:w="110"/>
              <w:bottom w:type="dxa" w:w="70"/>
              <w:right w:type="dxa" w:w="110"/>
            </w:tcMar>
            <w:vAlign w:val="center"/>
          </w:tcPr>
          <w:p>
            <w:pPr>
              <w:spacing w:after="0"/>
            </w:pPr>
            <w:r>
              <w:rPr>
                <w:b w:val="false"/>
                <w:bCs w:val="false"/>
                <w:sz w:val="19"/>
                <w:szCs w:val="19"/>
              </w:rPr>
              <w:t xml:space="preserve">Convênios</w:t>
            </w:r>
          </w:p>
        </w:tc>
        <w:tc>
          <w:tcPr>
            <w:tcW w:type="dxa" w:w="3600"/>
            <w:shd w:fill="F2F2F2" w:val="clear"/>
            <w:tcMar>
              <w:top w:type="dxa" w:w="70"/>
              <w:left w:type="dxa" w:w="110"/>
              <w:bottom w:type="dxa" w:w="70"/>
              <w:right w:type="dxa" w:w="110"/>
            </w:tcMar>
            <w:vAlign w:val="center"/>
          </w:tcPr>
          <w:p>
            <w:pPr>
              <w:spacing w:after="0"/>
            </w:pPr>
            <w:r>
              <w:rPr>
                <w:b w:val="false"/>
                <w:bCs w:val="false"/>
                <w:sz w:val="19"/>
                <w:szCs w:val="19"/>
              </w:rPr>
              <w:t xml:space="preserve">Transferências a estados e municípios</w:t>
            </w:r>
          </w:p>
        </w:tc>
        <w:tc>
          <w:tcPr>
            <w:tcW w:type="dxa" w:w="3800"/>
            <w:shd w:fill="F2F2F2" w:val="clear"/>
            <w:tcMar>
              <w:top w:type="dxa" w:w="70"/>
              <w:left w:type="dxa" w:w="110"/>
              <w:bottom w:type="dxa" w:w="70"/>
              <w:right w:type="dxa" w:w="110"/>
            </w:tcMar>
            <w:vAlign w:val="center"/>
          </w:tcPr>
          <w:p>
            <w:pPr>
              <w:spacing w:after="0"/>
            </w:pPr>
            <w:r>
              <w:rPr>
                <w:b w:val="false"/>
                <w:bCs w:val="false"/>
                <w:sz w:val="19"/>
                <w:szCs w:val="19"/>
              </w:rPr>
              <w:t xml:space="preserve">Rastrear destino de recurso federal</w:t>
            </w:r>
          </w:p>
        </w:tc>
      </w:tr>
      <w:tr>
        <w:trPr>
          <w:cantSplit/>
        </w:trPr>
        <w:tc>
          <w:tcPr>
            <w:tcW w:type="dxa" w:w="2200"/>
            <w:shd w:fill="FFFFFF" w:val="clear"/>
            <w:tcMar>
              <w:top w:type="dxa" w:w="70"/>
              <w:left w:type="dxa" w:w="110"/>
              <w:bottom w:type="dxa" w:w="70"/>
              <w:right w:type="dxa" w:w="110"/>
            </w:tcMar>
            <w:vAlign w:val="center"/>
          </w:tcPr>
          <w:p>
            <w:pPr>
              <w:spacing w:after="0"/>
            </w:pPr>
            <w:r>
              <w:rPr>
                <w:b w:val="false"/>
                <w:bCs w:val="false"/>
                <w:sz w:val="19"/>
                <w:szCs w:val="19"/>
              </w:rPr>
              <w:t xml:space="preserve">Emendas parlamentares</w:t>
            </w:r>
          </w:p>
        </w:tc>
        <w:tc>
          <w:tcPr>
            <w:tcW w:type="dxa" w:w="3600"/>
            <w:shd w:fill="FFFFFF" w:val="clear"/>
            <w:tcMar>
              <w:top w:type="dxa" w:w="70"/>
              <w:left w:type="dxa" w:w="110"/>
              <w:bottom w:type="dxa" w:w="70"/>
              <w:right w:type="dxa" w:w="110"/>
            </w:tcMar>
            <w:vAlign w:val="center"/>
          </w:tcPr>
          <w:p>
            <w:pPr>
              <w:spacing w:after="0"/>
            </w:pPr>
            <w:r>
              <w:rPr>
                <w:b w:val="false"/>
                <w:bCs w:val="false"/>
                <w:sz w:val="19"/>
                <w:szCs w:val="19"/>
              </w:rPr>
              <w:t xml:space="preserve">Emendas e documentos vinculados</w:t>
            </w:r>
          </w:p>
        </w:tc>
        <w:tc>
          <w:tcPr>
            <w:tcW w:type="dxa" w:w="3800"/>
            <w:shd w:fill="FFFFFF" w:val="clear"/>
            <w:tcMar>
              <w:top w:type="dxa" w:w="70"/>
              <w:left w:type="dxa" w:w="110"/>
              <w:bottom w:type="dxa" w:w="70"/>
              <w:right w:type="dxa" w:w="110"/>
            </w:tcMar>
            <w:vAlign w:val="center"/>
          </w:tcPr>
          <w:p>
            <w:pPr>
              <w:spacing w:after="0"/>
            </w:pPr>
            <w:r>
              <w:rPr>
                <w:b w:val="false"/>
                <w:bCs w:val="false"/>
                <w:sz w:val="19"/>
                <w:szCs w:val="19"/>
              </w:rPr>
              <w:t xml:space="preserve">Vincular emenda ao executor final</w:t>
            </w:r>
          </w:p>
        </w:tc>
      </w:tr>
      <w:tr>
        <w:trPr>
          <w:cantSplit/>
        </w:trPr>
        <w:tc>
          <w:tcPr>
            <w:tcW w:type="dxa" w:w="2200"/>
            <w:shd w:fill="F2F2F2" w:val="clear"/>
            <w:tcMar>
              <w:top w:type="dxa" w:w="70"/>
              <w:left w:type="dxa" w:w="110"/>
              <w:bottom w:type="dxa" w:w="70"/>
              <w:right w:type="dxa" w:w="110"/>
            </w:tcMar>
            <w:vAlign w:val="center"/>
          </w:tcPr>
          <w:p>
            <w:pPr>
              <w:spacing w:after="0"/>
            </w:pPr>
            <w:r>
              <w:rPr>
                <w:b w:val="false"/>
                <w:bCs w:val="false"/>
                <w:sz w:val="19"/>
                <w:szCs w:val="19"/>
              </w:rPr>
              <w:t xml:space="preserve">CEIS</w:t>
            </w:r>
          </w:p>
        </w:tc>
        <w:tc>
          <w:tcPr>
            <w:tcW w:type="dxa" w:w="3600"/>
            <w:shd w:fill="F2F2F2" w:val="clear"/>
            <w:tcMar>
              <w:top w:type="dxa" w:w="70"/>
              <w:left w:type="dxa" w:w="110"/>
              <w:bottom w:type="dxa" w:w="70"/>
              <w:right w:type="dxa" w:w="110"/>
            </w:tcMar>
            <w:vAlign w:val="center"/>
          </w:tcPr>
          <w:p>
            <w:pPr>
              <w:spacing w:after="0"/>
            </w:pPr>
            <w:r>
              <w:rPr>
                <w:b w:val="false"/>
                <w:bCs w:val="false"/>
                <w:sz w:val="19"/>
                <w:szCs w:val="19"/>
              </w:rPr>
              <w:t xml:space="preserve">Empresas inidôneas e suspensas (23.787 sanções em 15/10/2026)</w:t>
            </w:r>
          </w:p>
        </w:tc>
        <w:tc>
          <w:tcPr>
            <w:tcW w:type="dxa" w:w="3800"/>
            <w:shd w:fill="F2F2F2" w:val="clear"/>
            <w:tcMar>
              <w:top w:type="dxa" w:w="70"/>
              <w:left w:type="dxa" w:w="110"/>
              <w:bottom w:type="dxa" w:w="70"/>
              <w:right w:type="dxa" w:w="110"/>
            </w:tcMar>
            <w:vAlign w:val="center"/>
          </w:tcPr>
          <w:p>
            <w:pPr>
              <w:spacing w:after="0"/>
            </w:pPr>
            <w:r>
              <w:rPr>
                <w:b w:val="false"/>
                <w:bCs w:val="false"/>
                <w:sz w:val="19"/>
                <w:szCs w:val="19"/>
              </w:rPr>
              <w:t xml:space="preserve">Coletado (cgu_ceis, ADR-030); regra J-01 na Fase 2</w:t>
            </w:r>
          </w:p>
        </w:tc>
      </w:tr>
      <w:tr>
        <w:trPr>
          <w:cantSplit/>
        </w:trPr>
        <w:tc>
          <w:tcPr>
            <w:tcW w:type="dxa" w:w="2200"/>
            <w:shd w:fill="FFFFFF" w:val="clear"/>
            <w:tcMar>
              <w:top w:type="dxa" w:w="70"/>
              <w:left w:type="dxa" w:w="110"/>
              <w:bottom w:type="dxa" w:w="70"/>
              <w:right w:type="dxa" w:w="110"/>
            </w:tcMar>
            <w:vAlign w:val="center"/>
          </w:tcPr>
          <w:p>
            <w:pPr>
              <w:spacing w:after="0"/>
            </w:pPr>
            <w:r>
              <w:rPr>
                <w:b w:val="false"/>
                <w:bCs w:val="false"/>
                <w:sz w:val="19"/>
                <w:szCs w:val="19"/>
              </w:rPr>
              <w:t xml:space="preserve">CNEP</w:t>
            </w:r>
          </w:p>
        </w:tc>
        <w:tc>
          <w:tcPr>
            <w:tcW w:type="dxa" w:w="3600"/>
            <w:shd w:fill="FFFFFF" w:val="clear"/>
            <w:tcMar>
              <w:top w:type="dxa" w:w="70"/>
              <w:left w:type="dxa" w:w="110"/>
              <w:bottom w:type="dxa" w:w="70"/>
              <w:right w:type="dxa" w:w="110"/>
            </w:tcMar>
            <w:vAlign w:val="center"/>
          </w:tcPr>
          <w:p>
            <w:pPr>
              <w:spacing w:after="0"/>
            </w:pPr>
            <w:r>
              <w:rPr>
                <w:b w:val="false"/>
                <w:bCs w:val="false"/>
                <w:sz w:val="19"/>
                <w:szCs w:val="19"/>
              </w:rPr>
              <w:t xml:space="preserve">Empresas punidas pela Lei 12.846/2013 (1.840)</w:t>
            </w:r>
          </w:p>
        </w:tc>
        <w:tc>
          <w:tcPr>
            <w:tcW w:type="dxa" w:w="3800"/>
            <w:shd w:fill="FFFFFF" w:val="clear"/>
            <w:tcMar>
              <w:top w:type="dxa" w:w="70"/>
              <w:left w:type="dxa" w:w="110"/>
              <w:bottom w:type="dxa" w:w="70"/>
              <w:right w:type="dxa" w:w="110"/>
            </w:tcMar>
            <w:vAlign w:val="center"/>
          </w:tcPr>
          <w:p>
            <w:pPr>
              <w:spacing w:after="0"/>
            </w:pPr>
            <w:r>
              <w:rPr>
                <w:b w:val="false"/>
                <w:bCs w:val="false"/>
                <w:sz w:val="19"/>
                <w:szCs w:val="19"/>
              </w:rPr>
              <w:t xml:space="preserve">Coletado (cgu_cnep); regra J-01 na Fase 2</w:t>
            </w:r>
          </w:p>
        </w:tc>
      </w:tr>
      <w:tr>
        <w:trPr>
          <w:cantSplit/>
        </w:trPr>
        <w:tc>
          <w:tcPr>
            <w:tcW w:type="dxa" w:w="2200"/>
            <w:shd w:fill="F2F2F2" w:val="clear"/>
            <w:tcMar>
              <w:top w:type="dxa" w:w="70"/>
              <w:left w:type="dxa" w:w="110"/>
              <w:bottom w:type="dxa" w:w="70"/>
              <w:right w:type="dxa" w:w="110"/>
            </w:tcMar>
            <w:vAlign w:val="center"/>
          </w:tcPr>
          <w:p>
            <w:pPr>
              <w:spacing w:after="0"/>
            </w:pPr>
            <w:r>
              <w:rPr>
                <w:b w:val="false"/>
                <w:bCs w:val="false"/>
                <w:sz w:val="19"/>
                <w:szCs w:val="19"/>
              </w:rPr>
              <w:t xml:space="preserve">CEPIM</w:t>
            </w:r>
          </w:p>
        </w:tc>
        <w:tc>
          <w:tcPr>
            <w:tcW w:type="dxa" w:w="3600"/>
            <w:shd w:fill="F2F2F2" w:val="clear"/>
            <w:tcMar>
              <w:top w:type="dxa" w:w="70"/>
              <w:left w:type="dxa" w:w="110"/>
              <w:bottom w:type="dxa" w:w="70"/>
              <w:right w:type="dxa" w:w="110"/>
            </w:tcMar>
            <w:vAlign w:val="center"/>
          </w:tcPr>
          <w:p>
            <w:pPr>
              <w:spacing w:after="0"/>
            </w:pPr>
            <w:r>
              <w:rPr>
                <w:b w:val="false"/>
                <w:bCs w:val="false"/>
                <w:sz w:val="19"/>
                <w:szCs w:val="19"/>
              </w:rPr>
              <w:t xml:space="preserve">Entidades sem fins lucrativos impedidas (3.521)</w:t>
            </w:r>
          </w:p>
        </w:tc>
        <w:tc>
          <w:tcPr>
            <w:tcW w:type="dxa" w:w="3800"/>
            <w:shd w:fill="F2F2F2" w:val="clear"/>
            <w:tcMar>
              <w:top w:type="dxa" w:w="70"/>
              <w:left w:type="dxa" w:w="110"/>
              <w:bottom w:type="dxa" w:w="70"/>
              <w:right w:type="dxa" w:w="110"/>
            </w:tcMar>
            <w:vAlign w:val="center"/>
          </w:tcPr>
          <w:p>
            <w:pPr>
              <w:spacing w:after="0"/>
            </w:pPr>
            <w:r>
              <w:rPr>
                <w:b w:val="false"/>
                <w:bCs w:val="false"/>
                <w:sz w:val="19"/>
                <w:szCs w:val="19"/>
              </w:rPr>
              <w:t xml:space="preserve">Coletado (cgu_cepim); convênios com entidades impedidas</w:t>
            </w:r>
          </w:p>
        </w:tc>
      </w:tr>
      <w:tr>
        <w:trPr>
          <w:cantSplit/>
        </w:trPr>
        <w:tc>
          <w:tcPr>
            <w:tcW w:type="dxa" w:w="2200"/>
            <w:shd w:fill="FFFFFF" w:val="clear"/>
            <w:tcMar>
              <w:top w:type="dxa" w:w="70"/>
              <w:left w:type="dxa" w:w="110"/>
              <w:bottom w:type="dxa" w:w="70"/>
              <w:right w:type="dxa" w:w="110"/>
            </w:tcMar>
            <w:vAlign w:val="center"/>
          </w:tcPr>
          <w:p>
            <w:pPr>
              <w:spacing w:after="0"/>
            </w:pPr>
            <w:r>
              <w:rPr>
                <w:b w:val="false"/>
                <w:bCs w:val="false"/>
                <w:sz w:val="19"/>
                <w:szCs w:val="19"/>
              </w:rPr>
              <w:t xml:space="preserve">Licitações e contratos</w:t>
            </w:r>
          </w:p>
        </w:tc>
        <w:tc>
          <w:tcPr>
            <w:tcW w:type="dxa" w:w="3600"/>
            <w:shd w:fill="FFFFFF" w:val="clear"/>
            <w:tcMar>
              <w:top w:type="dxa" w:w="70"/>
              <w:left w:type="dxa" w:w="110"/>
              <w:bottom w:type="dxa" w:w="70"/>
              <w:right w:type="dxa" w:w="110"/>
            </w:tcMar>
            <w:vAlign w:val="center"/>
          </w:tcPr>
          <w:p>
            <w:pPr>
              <w:spacing w:after="0"/>
            </w:pPr>
            <w:r>
              <w:rPr>
                <w:b w:val="false"/>
                <w:bCs w:val="false"/>
                <w:sz w:val="19"/>
                <w:szCs w:val="19"/>
              </w:rPr>
              <w:t xml:space="preserve">Contratações do Executivo federal</w:t>
            </w:r>
          </w:p>
        </w:tc>
        <w:tc>
          <w:tcPr>
            <w:tcW w:type="dxa" w:w="3800"/>
            <w:shd w:fill="FFFFFF" w:val="clear"/>
            <w:tcMar>
              <w:top w:type="dxa" w:w="70"/>
              <w:left w:type="dxa" w:w="110"/>
              <w:bottom w:type="dxa" w:w="70"/>
              <w:right w:type="dxa" w:w="110"/>
            </w:tcMar>
            <w:vAlign w:val="center"/>
          </w:tcPr>
          <w:p>
            <w:pPr>
              <w:spacing w:after="0"/>
            </w:pPr>
            <w:r>
              <w:rPr>
                <w:b w:val="false"/>
                <w:bCs w:val="false"/>
                <w:sz w:val="19"/>
                <w:szCs w:val="19"/>
              </w:rPr>
              <w:t xml:space="preserve">Complemento ao PNCP na esfera federal</w:t>
            </w:r>
          </w:p>
        </w:tc>
      </w:tr>
      <w:tr>
        <w:trPr>
          <w:cantSplit/>
        </w:trPr>
        <w:tc>
          <w:tcPr>
            <w:tcW w:type="dxa" w:w="2200"/>
            <w:shd w:fill="F2F2F2" w:val="clear"/>
            <w:tcMar>
              <w:top w:type="dxa" w:w="70"/>
              <w:left w:type="dxa" w:w="110"/>
              <w:bottom w:type="dxa" w:w="70"/>
              <w:right w:type="dxa" w:w="110"/>
            </w:tcMar>
            <w:vAlign w:val="center"/>
          </w:tcPr>
          <w:p>
            <w:pPr>
              <w:spacing w:after="0"/>
            </w:pPr>
            <w:r>
              <w:rPr>
                <w:b w:val="false"/>
                <w:bCs w:val="false"/>
                <w:sz w:val="19"/>
                <w:szCs w:val="19"/>
              </w:rPr>
              <w:t xml:space="preserve">Notas fiscais</w:t>
            </w:r>
          </w:p>
        </w:tc>
        <w:tc>
          <w:tcPr>
            <w:tcW w:type="dxa" w:w="3600"/>
            <w:shd w:fill="F2F2F2" w:val="clear"/>
            <w:tcMar>
              <w:top w:type="dxa" w:w="70"/>
              <w:left w:type="dxa" w:w="110"/>
              <w:bottom w:type="dxa" w:w="70"/>
              <w:right w:type="dxa" w:w="110"/>
            </w:tcMar>
            <w:vAlign w:val="center"/>
          </w:tcPr>
          <w:p>
            <w:pPr>
              <w:spacing w:after="0"/>
            </w:pPr>
            <w:r>
              <w:rPr>
                <w:b w:val="false"/>
                <w:bCs w:val="false"/>
                <w:sz w:val="19"/>
                <w:szCs w:val="19"/>
              </w:rPr>
              <w:t xml:space="preserve">Notas fiscais eletrônicas publicadas</w:t>
            </w:r>
          </w:p>
        </w:tc>
        <w:tc>
          <w:tcPr>
            <w:tcW w:type="dxa" w:w="3800"/>
            <w:shd w:fill="F2F2F2" w:val="clear"/>
            <w:tcMar>
              <w:top w:type="dxa" w:w="70"/>
              <w:left w:type="dxa" w:w="110"/>
              <w:bottom w:type="dxa" w:w="70"/>
              <w:right w:type="dxa" w:w="110"/>
            </w:tcMar>
            <w:vAlign w:val="center"/>
          </w:tcPr>
          <w:p>
            <w:pPr>
              <w:spacing w:after="0"/>
            </w:pPr>
            <w:r>
              <w:rPr>
                <w:b w:val="false"/>
                <w:bCs w:val="false"/>
                <w:sz w:val="19"/>
                <w:szCs w:val="19"/>
              </w:rPr>
              <w:t xml:space="preserve">Confronto entre contratado e efetivamente faturado</w:t>
            </w:r>
          </w:p>
        </w:tc>
      </w:tr>
    </w:tbl>
    <w:p>
      <w:pPr>
        <w:spacing w:after="120"/>
      </w:pPr>
      <w:r>
        <w:rPr>
          <w:b w:val="false"/>
          <w:bCs w:val="false"/>
          <w:i w:val="false"/>
          <w:iCs w:val="false"/>
        </w:rPr>
        <w:t xml:space="preserve">CEIS, CNEP e CEPIM vêm dos arquivos de dados abertos, e não da API (ADR-030). Cada arquivo é o retrato do cadastro inteiro num dia; a página de download declara a data do mais recente, que em 16/10/2026 era 15/10 no CEIS e no CNEP e 14/10 no CEPIM. Comportamento observado em 16/10/2026: o CEIS publica o CPF inteiro das pessoas físicas sancionadas (9.170 linhas), que o Lumen mascara na normalização; "Sem Informação" marca campo não informado; há sanções com prazo determinado que terminam em 31/12/2099; sancionados estrangeiros vêm sem tipo de pessoa e com documento de 7 a 9 dígitos; o CEPIM não tem datas nem código da sanção.</w:t>
      </w:r>
    </w:p>
    <w:p>
      <w:pPr>
        <w:pStyle w:val="Heading2"/>
        <w:keepNext/>
        <w:keepLines/>
        <w:spacing w:after="120" w:before="280"/>
      </w:pPr>
      <w:bookmarkStart w:name="_Toc10" w:id="10"/>
      <w:r>
        <w:t xml:space="preserve">2.4 Receita Federal — base pública de CNPJ</w:t>
      </w:r>
      <w:bookmarkEnd w:id="10"/>
    </w:p>
    <w:p>
      <w:pPr>
        <w:spacing w:after="120"/>
      </w:pPr>
      <w:r>
        <w:rPr>
          <w:b w:val="false"/>
          <w:bCs w:val="false"/>
          <w:i w:val="false"/>
          <w:iCs w:val="false"/>
        </w:rPr>
        <w:t xml:space="preserve">Distribuída como arquivos completos para download, e não como API de consulta. Traz quadro societário, CNAE, capital social, data de abertura e situação cadastral. É a fonte que transforma um CNPJ em contexto analisável e sustenta toda a família D do catálogo de regras.</w:t>
      </w:r>
    </w:p>
    <w:tbl>
      <w:tblPr>
        <w:tblW w:type="dxa" w:w="9600"/>
        <w:tblBorders>
          <w:top w:val="single" w:color="BFBFBF" w:sz="4"/>
          <w:left w:val="single" w:color="BFBFBF" w:sz="4"/>
          <w:bottom w:val="single" w:color="BFBFBF" w:sz="4"/>
          <w:right w:val="single" w:color="BFBFBF" w:sz="4"/>
          <w:insideH w:val="single" w:color="D9D9D9" w:sz="2"/>
          <w:insideV w:val="single" w:color="D9D9D9" w:sz="2"/>
        </w:tblBorders>
      </w:tblPr>
      <w:tblGrid>
        <w:gridCol w:w="2400"/>
        <w:gridCol w:w="3600"/>
        <w:gridCol w:w="3600"/>
      </w:tblGrid>
      <w:tr>
        <w:trPr>
          <w:tblHeader/>
        </w:trPr>
        <w:tc>
          <w:tcPr>
            <w:tcW w:type="dxa" w:w="2400"/>
            <w:shd w:fill="1F3864" w:val="clear"/>
            <w:tcMar>
              <w:top w:type="dxa" w:w="80"/>
              <w:left w:type="dxa" w:w="110"/>
              <w:bottom w:type="dxa" w:w="80"/>
              <w:right w:type="dxa" w:w="110"/>
            </w:tcMar>
            <w:vAlign w:val="center"/>
          </w:tcPr>
          <w:p>
            <w:pPr>
              <w:spacing w:after="0"/>
            </w:pPr>
            <w:r>
              <w:rPr>
                <w:b/>
                <w:bCs/>
                <w:color w:val="FFFFFF"/>
                <w:sz w:val="19"/>
                <w:szCs w:val="19"/>
              </w:rPr>
              <w:t xml:space="preserve">Arquivo</w:t>
            </w:r>
          </w:p>
        </w:tc>
        <w:tc>
          <w:tcPr>
            <w:tcW w:type="dxa" w:w="3600"/>
            <w:shd w:fill="1F3864" w:val="clear"/>
            <w:tcMar>
              <w:top w:type="dxa" w:w="80"/>
              <w:left w:type="dxa" w:w="110"/>
              <w:bottom w:type="dxa" w:w="80"/>
              <w:right w:type="dxa" w:w="110"/>
            </w:tcMar>
            <w:vAlign w:val="center"/>
          </w:tcPr>
          <w:p>
            <w:pPr>
              <w:spacing w:after="0"/>
            </w:pPr>
            <w:r>
              <w:rPr>
                <w:b/>
                <w:bCs/>
                <w:color w:val="FFFFFF"/>
                <w:sz w:val="19"/>
                <w:szCs w:val="19"/>
              </w:rPr>
              <w:t xml:space="preserve">Conteúdo</w:t>
            </w:r>
          </w:p>
        </w:tc>
        <w:tc>
          <w:tcPr>
            <w:tcW w:type="dxa" w:w="3600"/>
            <w:shd w:fill="1F3864" w:val="clear"/>
            <w:tcMar>
              <w:top w:type="dxa" w:w="80"/>
              <w:left w:type="dxa" w:w="110"/>
              <w:bottom w:type="dxa" w:w="80"/>
              <w:right w:type="dxa" w:w="110"/>
            </w:tcMar>
            <w:vAlign w:val="center"/>
          </w:tcPr>
          <w:p>
            <w:pPr>
              <w:spacing w:after="0"/>
            </w:pPr>
            <w:r>
              <w:rPr>
                <w:b/>
                <w:bCs/>
                <w:color w:val="FFFFFF"/>
                <w:sz w:val="19"/>
                <w:szCs w:val="19"/>
              </w:rPr>
              <w:t xml:space="preserve">Regra que depende</w:t>
            </w:r>
          </w:p>
        </w:tc>
      </w:tr>
      <w:tr>
        <w:trPr>
          <w:cantSplit/>
        </w:trPr>
        <w:tc>
          <w:tcPr>
            <w:tcW w:type="dxa" w:w="2400"/>
            <w:shd w:fill="FFFFFF" w:val="clear"/>
            <w:tcMar>
              <w:top w:type="dxa" w:w="70"/>
              <w:left w:type="dxa" w:w="110"/>
              <w:bottom w:type="dxa" w:w="70"/>
              <w:right w:type="dxa" w:w="110"/>
            </w:tcMar>
            <w:vAlign w:val="center"/>
          </w:tcPr>
          <w:p>
            <w:pPr>
              <w:spacing w:after="0"/>
            </w:pPr>
            <w:r>
              <w:rPr>
                <w:b w:val="false"/>
                <w:bCs w:val="false"/>
                <w:sz w:val="19"/>
                <w:szCs w:val="19"/>
              </w:rPr>
              <w:t xml:space="preserve">Empresas</w:t>
            </w:r>
          </w:p>
        </w:tc>
        <w:tc>
          <w:tcPr>
            <w:tcW w:type="dxa" w:w="3600"/>
            <w:shd w:fill="FFFFFF" w:val="clear"/>
            <w:tcMar>
              <w:top w:type="dxa" w:w="70"/>
              <w:left w:type="dxa" w:w="110"/>
              <w:bottom w:type="dxa" w:w="70"/>
              <w:right w:type="dxa" w:w="110"/>
            </w:tcMar>
            <w:vAlign w:val="center"/>
          </w:tcPr>
          <w:p>
            <w:pPr>
              <w:spacing w:after="0"/>
            </w:pPr>
            <w:r>
              <w:rPr>
                <w:b w:val="false"/>
                <w:bCs w:val="false"/>
                <w:sz w:val="19"/>
                <w:szCs w:val="19"/>
              </w:rPr>
              <w:t xml:space="preserve">Razão social, capital social, porte</w:t>
            </w:r>
          </w:p>
        </w:tc>
        <w:tc>
          <w:tcPr>
            <w:tcW w:type="dxa" w:w="3600"/>
            <w:shd w:fill="FFFFFF" w:val="clear"/>
            <w:tcMar>
              <w:top w:type="dxa" w:w="70"/>
              <w:left w:type="dxa" w:w="110"/>
              <w:bottom w:type="dxa" w:w="70"/>
              <w:right w:type="dxa" w:w="110"/>
            </w:tcMar>
            <w:vAlign w:val="center"/>
          </w:tcPr>
          <w:p>
            <w:pPr>
              <w:spacing w:after="0"/>
            </w:pPr>
            <w:r>
              <w:rPr>
                <w:b w:val="false"/>
                <w:bCs w:val="false"/>
                <w:sz w:val="19"/>
                <w:szCs w:val="19"/>
              </w:rPr>
              <w:t xml:space="preserve">D-02 desproporção entre capital e contrato</w:t>
            </w:r>
          </w:p>
        </w:tc>
      </w:tr>
      <w:tr>
        <w:trPr>
          <w:cantSplit/>
        </w:trPr>
        <w:tc>
          <w:tcPr>
            <w:tcW w:type="dxa" w:w="2400"/>
            <w:shd w:fill="F2F2F2" w:val="clear"/>
            <w:tcMar>
              <w:top w:type="dxa" w:w="70"/>
              <w:left w:type="dxa" w:w="110"/>
              <w:bottom w:type="dxa" w:w="70"/>
              <w:right w:type="dxa" w:w="110"/>
            </w:tcMar>
            <w:vAlign w:val="center"/>
          </w:tcPr>
          <w:p>
            <w:pPr>
              <w:spacing w:after="0"/>
            </w:pPr>
            <w:r>
              <w:rPr>
                <w:b w:val="false"/>
                <w:bCs w:val="false"/>
                <w:sz w:val="19"/>
                <w:szCs w:val="19"/>
              </w:rPr>
              <w:t xml:space="preserve">Estabelecimentos</w:t>
            </w:r>
          </w:p>
        </w:tc>
        <w:tc>
          <w:tcPr>
            <w:tcW w:type="dxa" w:w="3600"/>
            <w:shd w:fill="F2F2F2" w:val="clear"/>
            <w:tcMar>
              <w:top w:type="dxa" w:w="70"/>
              <w:left w:type="dxa" w:w="110"/>
              <w:bottom w:type="dxa" w:w="70"/>
              <w:right w:type="dxa" w:w="110"/>
            </w:tcMar>
            <w:vAlign w:val="center"/>
          </w:tcPr>
          <w:p>
            <w:pPr>
              <w:spacing w:after="0"/>
            </w:pPr>
            <w:r>
              <w:rPr>
                <w:b w:val="false"/>
                <w:bCs w:val="false"/>
                <w:sz w:val="19"/>
                <w:szCs w:val="19"/>
              </w:rPr>
              <w:t xml:space="preserve">CNAE, endereço, situação, data de início</w:t>
            </w:r>
          </w:p>
        </w:tc>
        <w:tc>
          <w:tcPr>
            <w:tcW w:type="dxa" w:w="3600"/>
            <w:shd w:fill="F2F2F2" w:val="clear"/>
            <w:tcMar>
              <w:top w:type="dxa" w:w="70"/>
              <w:left w:type="dxa" w:w="110"/>
              <w:bottom w:type="dxa" w:w="70"/>
              <w:right w:type="dxa" w:w="110"/>
            </w:tcMar>
            <w:vAlign w:val="center"/>
          </w:tcPr>
          <w:p>
            <w:pPr>
              <w:spacing w:after="0"/>
            </w:pPr>
            <w:r>
              <w:rPr>
                <w:b w:val="false"/>
                <w:bCs w:val="false"/>
                <w:sz w:val="19"/>
                <w:szCs w:val="19"/>
              </w:rPr>
              <w:t xml:space="preserve">D-01 empresa recém-constituída; D-03 CNAE incompatível</w:t>
            </w:r>
          </w:p>
        </w:tc>
      </w:tr>
      <w:tr>
        <w:trPr>
          <w:cantSplit/>
        </w:trPr>
        <w:tc>
          <w:tcPr>
            <w:tcW w:type="dxa" w:w="2400"/>
            <w:shd w:fill="FFFFFF" w:val="clear"/>
            <w:tcMar>
              <w:top w:type="dxa" w:w="70"/>
              <w:left w:type="dxa" w:w="110"/>
              <w:bottom w:type="dxa" w:w="70"/>
              <w:right w:type="dxa" w:w="110"/>
            </w:tcMar>
            <w:vAlign w:val="center"/>
          </w:tcPr>
          <w:p>
            <w:pPr>
              <w:spacing w:after="0"/>
            </w:pPr>
            <w:r>
              <w:rPr>
                <w:b w:val="false"/>
                <w:bCs w:val="false"/>
                <w:sz w:val="19"/>
                <w:szCs w:val="19"/>
              </w:rPr>
              <w:t xml:space="preserve">Sócios</w:t>
            </w:r>
          </w:p>
        </w:tc>
        <w:tc>
          <w:tcPr>
            <w:tcW w:type="dxa" w:w="3600"/>
            <w:shd w:fill="FFFFFF" w:val="clear"/>
            <w:tcMar>
              <w:top w:type="dxa" w:w="70"/>
              <w:left w:type="dxa" w:w="110"/>
              <w:bottom w:type="dxa" w:w="70"/>
              <w:right w:type="dxa" w:w="110"/>
            </w:tcMar>
            <w:vAlign w:val="center"/>
          </w:tcPr>
          <w:p>
            <w:pPr>
              <w:spacing w:after="0"/>
            </w:pPr>
            <w:r>
              <w:rPr>
                <w:b w:val="false"/>
                <w:bCs w:val="false"/>
                <w:sz w:val="19"/>
                <w:szCs w:val="19"/>
              </w:rPr>
              <w:t xml:space="preserve">Quadro societário</w:t>
            </w:r>
          </w:p>
        </w:tc>
        <w:tc>
          <w:tcPr>
            <w:tcW w:type="dxa" w:w="3600"/>
            <w:shd w:fill="FFFFFF" w:val="clear"/>
            <w:tcMar>
              <w:top w:type="dxa" w:w="70"/>
              <w:left w:type="dxa" w:w="110"/>
              <w:bottom w:type="dxa" w:w="70"/>
              <w:right w:type="dxa" w:w="110"/>
            </w:tcMar>
            <w:vAlign w:val="center"/>
          </w:tcPr>
          <w:p>
            <w:pPr>
              <w:spacing w:after="0"/>
            </w:pPr>
            <w:r>
              <w:rPr>
                <w:b w:val="false"/>
                <w:bCs w:val="false"/>
                <w:sz w:val="19"/>
                <w:szCs w:val="19"/>
              </w:rPr>
              <w:t xml:space="preserve">D-04 sócios em comum entre concorrentes</w:t>
            </w:r>
          </w:p>
        </w:tc>
      </w:tr>
    </w:tbl>
    <w:p>
      <w:pPr>
        <w:pStyle w:val="Heading2"/>
        <w:keepNext/>
        <w:keepLines/>
        <w:spacing w:after="120" w:before="280"/>
      </w:pPr>
      <w:bookmarkStart w:name="_Toc11" w:id="11"/>
      <w:r>
        <w:t xml:space="preserve">2.5 Demais fontes federais</w:t>
      </w:r>
      <w:bookmarkEnd w:id="11"/>
    </w:p>
    <w:tbl>
      <w:tblPr>
        <w:tblW w:type="dxa" w:w="9600"/>
        <w:tblBorders>
          <w:top w:val="single" w:color="BFBFBF" w:sz="4"/>
          <w:left w:val="single" w:color="BFBFBF" w:sz="4"/>
          <w:bottom w:val="single" w:color="BFBFBF" w:sz="4"/>
          <w:right w:val="single" w:color="BFBFBF" w:sz="4"/>
          <w:insideH w:val="single" w:color="D9D9D9" w:sz="2"/>
          <w:insideV w:val="single" w:color="D9D9D9" w:sz="2"/>
        </w:tblBorders>
      </w:tblPr>
      <w:tblGrid>
        <w:gridCol w:w="2600"/>
        <w:gridCol w:w="4600"/>
        <w:gridCol w:w="2400"/>
      </w:tblGrid>
      <w:tr>
        <w:trPr>
          <w:tblHeader/>
        </w:trPr>
        <w:tc>
          <w:tcPr>
            <w:tcW w:type="dxa" w:w="2600"/>
            <w:shd w:fill="1F3864" w:val="clear"/>
            <w:tcMar>
              <w:top w:type="dxa" w:w="80"/>
              <w:left w:type="dxa" w:w="110"/>
              <w:bottom w:type="dxa" w:w="80"/>
              <w:right w:type="dxa" w:w="110"/>
            </w:tcMar>
            <w:vAlign w:val="center"/>
          </w:tcPr>
          <w:p>
            <w:pPr>
              <w:spacing w:after="0"/>
            </w:pPr>
            <w:r>
              <w:rPr>
                <w:b/>
                <w:bCs/>
                <w:color w:val="FFFFFF"/>
                <w:sz w:val="19"/>
                <w:szCs w:val="19"/>
              </w:rPr>
              <w:t xml:space="preserve">Fonte</w:t>
            </w:r>
          </w:p>
        </w:tc>
        <w:tc>
          <w:tcPr>
            <w:tcW w:type="dxa" w:w="4600"/>
            <w:shd w:fill="1F3864" w:val="clear"/>
            <w:tcMar>
              <w:top w:type="dxa" w:w="80"/>
              <w:left w:type="dxa" w:w="110"/>
              <w:bottom w:type="dxa" w:w="80"/>
              <w:right w:type="dxa" w:w="110"/>
            </w:tcMar>
            <w:vAlign w:val="center"/>
          </w:tcPr>
          <w:p>
            <w:pPr>
              <w:spacing w:after="0"/>
            </w:pPr>
            <w:r>
              <w:rPr>
                <w:b/>
                <w:bCs/>
                <w:color w:val="FFFFFF"/>
                <w:sz w:val="19"/>
                <w:szCs w:val="19"/>
              </w:rPr>
              <w:t xml:space="preserve">Conteúdo</w:t>
            </w:r>
          </w:p>
        </w:tc>
        <w:tc>
          <w:tcPr>
            <w:tcW w:type="dxa" w:w="2400"/>
            <w:shd w:fill="1F3864" w:val="clear"/>
            <w:tcMar>
              <w:top w:type="dxa" w:w="80"/>
              <w:left w:type="dxa" w:w="110"/>
              <w:bottom w:type="dxa" w:w="80"/>
              <w:right w:type="dxa" w:w="110"/>
            </w:tcMar>
            <w:vAlign w:val="center"/>
          </w:tcPr>
          <w:p>
            <w:pPr>
              <w:spacing w:after="0"/>
            </w:pPr>
            <w:r>
              <w:rPr>
                <w:b/>
                <w:bCs/>
                <w:color w:val="FFFFFF"/>
                <w:sz w:val="19"/>
                <w:szCs w:val="19"/>
              </w:rPr>
              <w:t xml:space="preserve">Prioridade</w:t>
            </w:r>
          </w:p>
        </w:tc>
      </w:tr>
      <w:tr>
        <w:trPr>
          <w:cantSplit/>
        </w:trPr>
        <w:tc>
          <w:tcPr>
            <w:tcW w:type="dxa" w:w="2600"/>
            <w:shd w:fill="FFFFFF" w:val="clear"/>
            <w:tcMar>
              <w:top w:type="dxa" w:w="70"/>
              <w:left w:type="dxa" w:w="110"/>
              <w:bottom w:type="dxa" w:w="70"/>
              <w:right w:type="dxa" w:w="110"/>
            </w:tcMar>
            <w:vAlign w:val="center"/>
          </w:tcPr>
          <w:p>
            <w:pPr>
              <w:spacing w:after="0"/>
            </w:pPr>
            <w:r>
              <w:rPr>
                <w:b w:val="false"/>
                <w:bCs w:val="false"/>
                <w:sz w:val="19"/>
                <w:szCs w:val="19"/>
              </w:rPr>
              <w:t xml:space="preserve">Compras.gov.br</w:t>
            </w:r>
          </w:p>
        </w:tc>
        <w:tc>
          <w:tcPr>
            <w:tcW w:type="dxa" w:w="4600"/>
            <w:shd w:fill="FFFFFF" w:val="clear"/>
            <w:tcMar>
              <w:top w:type="dxa" w:w="70"/>
              <w:left w:type="dxa" w:w="110"/>
              <w:bottom w:type="dxa" w:w="70"/>
              <w:right w:type="dxa" w:w="110"/>
            </w:tcMar>
            <w:vAlign w:val="center"/>
          </w:tcPr>
          <w:p>
            <w:pPr>
              <w:spacing w:after="0"/>
            </w:pPr>
            <w:r>
              <w:rPr>
                <w:b w:val="false"/>
                <w:bCs w:val="false"/>
                <w:sz w:val="19"/>
                <w:szCs w:val="19"/>
              </w:rPr>
              <w:t xml:space="preserve">Catálogos CATMAT e CATSER, painel de preços de referência</w:t>
            </w:r>
          </w:p>
        </w:tc>
        <w:tc>
          <w:tcPr>
            <w:tcW w:type="dxa" w:w="2400"/>
            <w:shd w:fill="FFFFFF" w:val="clear"/>
            <w:tcMar>
              <w:top w:type="dxa" w:w="70"/>
              <w:left w:type="dxa" w:w="110"/>
              <w:bottom w:type="dxa" w:w="70"/>
              <w:right w:type="dxa" w:w="110"/>
            </w:tcMar>
            <w:vAlign w:val="center"/>
          </w:tcPr>
          <w:p>
            <w:pPr>
              <w:spacing w:after="0"/>
            </w:pPr>
            <w:r>
              <w:rPr>
                <w:b w:val="false"/>
                <w:bCs w:val="false"/>
                <w:sz w:val="19"/>
                <w:szCs w:val="19"/>
              </w:rPr>
              <w:t xml:space="preserve">Alta, normaliza itens</w:t>
            </w:r>
          </w:p>
        </w:tc>
      </w:tr>
      <w:tr>
        <w:trPr>
          <w:cantSplit/>
        </w:trPr>
        <w:tc>
          <w:tcPr>
            <w:tcW w:type="dxa" w:w="2600"/>
            <w:shd w:fill="F2F2F2" w:val="clear"/>
            <w:tcMar>
              <w:top w:type="dxa" w:w="70"/>
              <w:left w:type="dxa" w:w="110"/>
              <w:bottom w:type="dxa" w:w="70"/>
              <w:right w:type="dxa" w:w="110"/>
            </w:tcMar>
            <w:vAlign w:val="center"/>
          </w:tcPr>
          <w:p>
            <w:pPr>
              <w:spacing w:after="0"/>
            </w:pPr>
            <w:r>
              <w:rPr>
                <w:b w:val="false"/>
                <w:bCs w:val="false"/>
                <w:sz w:val="19"/>
                <w:szCs w:val="19"/>
              </w:rPr>
              <w:t xml:space="preserve">TCU — dados abertos</w:t>
            </w:r>
          </w:p>
        </w:tc>
        <w:tc>
          <w:tcPr>
            <w:tcW w:type="dxa" w:w="4600"/>
            <w:shd w:fill="F2F2F2" w:val="clear"/>
            <w:tcMar>
              <w:top w:type="dxa" w:w="70"/>
              <w:left w:type="dxa" w:w="110"/>
              <w:bottom w:type="dxa" w:w="70"/>
              <w:right w:type="dxa" w:w="110"/>
            </w:tcMar>
            <w:vAlign w:val="center"/>
          </w:tcPr>
          <w:p>
            <w:pPr>
              <w:spacing w:after="0"/>
            </w:pPr>
            <w:r>
              <w:rPr>
                <w:b w:val="false"/>
                <w:bCs w:val="false"/>
                <w:sz w:val="19"/>
                <w:szCs w:val="19"/>
              </w:rPr>
              <w:t xml:space="preserve">Acórdãos, processos de fiscalização, licitantes inidôneos</w:t>
            </w:r>
          </w:p>
        </w:tc>
        <w:tc>
          <w:tcPr>
            <w:tcW w:type="dxa" w:w="2400"/>
            <w:shd w:fill="F2F2F2" w:val="clear"/>
            <w:tcMar>
              <w:top w:type="dxa" w:w="70"/>
              <w:left w:type="dxa" w:w="110"/>
              <w:bottom w:type="dxa" w:w="70"/>
              <w:right w:type="dxa" w:w="110"/>
            </w:tcMar>
            <w:vAlign w:val="center"/>
          </w:tcPr>
          <w:p>
            <w:pPr>
              <w:spacing w:after="0"/>
            </w:pPr>
            <w:r>
              <w:rPr>
                <w:b w:val="false"/>
                <w:bCs w:val="false"/>
                <w:sz w:val="19"/>
                <w:szCs w:val="19"/>
              </w:rPr>
              <w:t xml:space="preserve">Média</w:t>
            </w:r>
          </w:p>
        </w:tc>
      </w:tr>
      <w:tr>
        <w:trPr>
          <w:cantSplit/>
        </w:trPr>
        <w:tc>
          <w:tcPr>
            <w:tcW w:type="dxa" w:w="2600"/>
            <w:shd w:fill="FFFFFF" w:val="clear"/>
            <w:tcMar>
              <w:top w:type="dxa" w:w="70"/>
              <w:left w:type="dxa" w:w="110"/>
              <w:bottom w:type="dxa" w:w="70"/>
              <w:right w:type="dxa" w:w="110"/>
            </w:tcMar>
            <w:vAlign w:val="center"/>
          </w:tcPr>
          <w:p>
            <w:pPr>
              <w:spacing w:after="0"/>
            </w:pPr>
            <w:r>
              <w:rPr>
                <w:b w:val="false"/>
                <w:bCs w:val="false"/>
                <w:sz w:val="19"/>
                <w:szCs w:val="19"/>
              </w:rPr>
              <w:t xml:space="preserve">PNTP — Radar da Transparência (tribunais de contas e Atricon)</w:t>
            </w:r>
          </w:p>
        </w:tc>
        <w:tc>
          <w:tcPr>
            <w:tcW w:type="dxa" w:w="4600"/>
            <w:shd w:fill="FFFFFF" w:val="clear"/>
            <w:tcMar>
              <w:top w:type="dxa" w:w="70"/>
              <w:left w:type="dxa" w:w="110"/>
              <w:bottom w:type="dxa" w:w="70"/>
              <w:right w:type="dxa" w:w="110"/>
            </w:tcMar>
            <w:vAlign w:val="center"/>
          </w:tcPr>
          <w:p>
            <w:pPr>
              <w:spacing w:after="0"/>
            </w:pPr>
            <w:r>
              <w:rPr>
                <w:b w:val="false"/>
                <w:bCs w:val="false"/>
                <w:sz w:val="19"/>
                <w:szCs w:val="19"/>
              </w:rPr>
              <w:t xml:space="preserve">Avaliação anual dos portais de transparência de 11.697 entidades (2025), com o endereço do portal; base por ciclo em ZIP, lida por Range (ADR-032)</w:t>
            </w:r>
          </w:p>
        </w:tc>
        <w:tc>
          <w:tcPr>
            <w:tcW w:type="dxa" w:w="2400"/>
            <w:shd w:fill="FFFFFF" w:val="clear"/>
            <w:tcMar>
              <w:top w:type="dxa" w:w="70"/>
              <w:left w:type="dxa" w:w="110"/>
              <w:bottom w:type="dxa" w:w="70"/>
              <w:right w:type="dxa" w:w="110"/>
            </w:tcMar>
            <w:vAlign w:val="center"/>
          </w:tcPr>
          <w:p>
            <w:pPr>
              <w:spacing w:after="0"/>
            </w:pPr>
            <w:r>
              <w:rPr>
                <w:b w:val="false"/>
                <w:bCs w:val="false"/>
                <w:sz w:val="19"/>
                <w:szCs w:val="19"/>
              </w:rPr>
              <w:t xml:space="preserve">Em uso (pntp_avaliacoes)</w:t>
            </w:r>
          </w:p>
        </w:tc>
      </w:tr>
      <w:tr>
        <w:trPr>
          <w:cantSplit/>
        </w:trPr>
        <w:tc>
          <w:tcPr>
            <w:tcW w:type="dxa" w:w="2600"/>
            <w:shd w:fill="F2F2F2" w:val="clear"/>
            <w:tcMar>
              <w:top w:type="dxa" w:w="70"/>
              <w:left w:type="dxa" w:w="110"/>
              <w:bottom w:type="dxa" w:w="70"/>
              <w:right w:type="dxa" w:w="110"/>
            </w:tcMar>
            <w:vAlign w:val="center"/>
          </w:tcPr>
          <w:p>
            <w:pPr>
              <w:spacing w:after="0"/>
            </w:pPr>
            <w:r>
              <w:rPr>
                <w:b w:val="false"/>
                <w:bCs w:val="false"/>
                <w:sz w:val="19"/>
                <w:szCs w:val="19"/>
              </w:rPr>
              <w:t xml:space="preserve">TSE — resultados</w:t>
            </w:r>
          </w:p>
        </w:tc>
        <w:tc>
          <w:tcPr>
            <w:tcW w:type="dxa" w:w="4600"/>
            <w:shd w:fill="F2F2F2" w:val="clear"/>
            <w:tcMar>
              <w:top w:type="dxa" w:w="70"/>
              <w:left w:type="dxa" w:w="110"/>
              <w:bottom w:type="dxa" w:w="70"/>
              <w:right w:type="dxa" w:w="110"/>
            </w:tcMar>
            <w:vAlign w:val="center"/>
          </w:tcPr>
          <w:p>
            <w:pPr>
              <w:spacing w:after="0"/>
            </w:pPr>
            <w:r>
              <w:rPr>
                <w:b w:val="false"/>
                <w:bCs w:val="false"/>
                <w:sz w:val="19"/>
                <w:szCs w:val="19"/>
              </w:rPr>
              <w:t xml:space="preserve">Resultados eleitorais, ao vivo e desde 1933 (seção 2.6)</w:t>
            </w:r>
          </w:p>
        </w:tc>
        <w:tc>
          <w:tcPr>
            <w:tcW w:type="dxa" w:w="2400"/>
            <w:shd w:fill="F2F2F2" w:val="clear"/>
            <w:tcMar>
              <w:top w:type="dxa" w:w="70"/>
              <w:left w:type="dxa" w:w="110"/>
              <w:bottom w:type="dxa" w:w="70"/>
              <w:right w:type="dxa" w:w="110"/>
            </w:tcMar>
            <w:vAlign w:val="center"/>
          </w:tcPr>
          <w:p>
            <w:pPr>
              <w:spacing w:after="0"/>
            </w:pPr>
            <w:r>
              <w:rPr>
                <w:b w:val="false"/>
                <w:bCs w:val="false"/>
                <w:sz w:val="19"/>
                <w:szCs w:val="19"/>
              </w:rPr>
              <w:t xml:space="preserve">Integrado na aba Eleições</w:t>
            </w:r>
          </w:p>
        </w:tc>
      </w:tr>
      <w:tr>
        <w:trPr>
          <w:cantSplit/>
        </w:trPr>
        <w:tc>
          <w:tcPr>
            <w:tcW w:type="dxa" w:w="2600"/>
            <w:shd w:fill="FFFFFF" w:val="clear"/>
            <w:tcMar>
              <w:top w:type="dxa" w:w="70"/>
              <w:left w:type="dxa" w:w="110"/>
              <w:bottom w:type="dxa" w:w="70"/>
              <w:right w:type="dxa" w:w="110"/>
            </w:tcMar>
            <w:vAlign w:val="center"/>
          </w:tcPr>
          <w:p>
            <w:pPr>
              <w:spacing w:after="0"/>
            </w:pPr>
            <w:r>
              <w:rPr>
                <w:b w:val="false"/>
                <w:bCs w:val="false"/>
                <w:sz w:val="19"/>
                <w:szCs w:val="19"/>
              </w:rPr>
              <w:t xml:space="preserve">TSE — prestação de contas</w:t>
            </w:r>
          </w:p>
        </w:tc>
        <w:tc>
          <w:tcPr>
            <w:tcW w:type="dxa" w:w="4600"/>
            <w:shd w:fill="FFFFFF" w:val="clear"/>
            <w:tcMar>
              <w:top w:type="dxa" w:w="70"/>
              <w:left w:type="dxa" w:w="110"/>
              <w:bottom w:type="dxa" w:w="70"/>
              <w:right w:type="dxa" w:w="110"/>
            </w:tcMar>
            <w:vAlign w:val="center"/>
          </w:tcPr>
          <w:p>
            <w:pPr>
              <w:spacing w:after="0"/>
            </w:pPr>
            <w:r>
              <w:rPr>
                <w:b w:val="false"/>
                <w:bCs w:val="false"/>
                <w:sz w:val="19"/>
                <w:szCs w:val="19"/>
              </w:rPr>
              <w:t xml:space="preserve">Candidaturas e doações eleitorais</w:t>
            </w:r>
          </w:p>
        </w:tc>
        <w:tc>
          <w:tcPr>
            <w:tcW w:type="dxa" w:w="2400"/>
            <w:shd w:fill="FFFFFF" w:val="clear"/>
            <w:tcMar>
              <w:top w:type="dxa" w:w="70"/>
              <w:left w:type="dxa" w:w="110"/>
              <w:bottom w:type="dxa" w:w="70"/>
              <w:right w:type="dxa" w:w="110"/>
            </w:tcMar>
            <w:vAlign w:val="center"/>
          </w:tcPr>
          <w:p>
            <w:pPr>
              <w:spacing w:after="0"/>
            </w:pPr>
            <w:r>
              <w:rPr>
                <w:b w:val="false"/>
                <w:bCs w:val="false"/>
                <w:sz w:val="19"/>
                <w:szCs w:val="19"/>
              </w:rPr>
              <w:t xml:space="preserve">Média, uso com cautela metodológica</w:t>
            </w:r>
          </w:p>
        </w:tc>
      </w:tr>
      <w:tr>
        <w:trPr>
          <w:cantSplit/>
        </w:trPr>
        <w:tc>
          <w:tcPr>
            <w:tcW w:type="dxa" w:w="2600"/>
            <w:shd w:fill="F2F2F2" w:val="clear"/>
            <w:tcMar>
              <w:top w:type="dxa" w:w="70"/>
              <w:left w:type="dxa" w:w="110"/>
              <w:bottom w:type="dxa" w:w="70"/>
              <w:right w:type="dxa" w:w="110"/>
            </w:tcMar>
            <w:vAlign w:val="center"/>
          </w:tcPr>
          <w:p>
            <w:pPr>
              <w:spacing w:after="0"/>
            </w:pPr>
            <w:r>
              <w:rPr>
                <w:b w:val="false"/>
                <w:bCs w:val="false"/>
                <w:sz w:val="19"/>
                <w:szCs w:val="19"/>
              </w:rPr>
              <w:t xml:space="preserve">IBGE</w:t>
            </w:r>
          </w:p>
        </w:tc>
        <w:tc>
          <w:tcPr>
            <w:tcW w:type="dxa" w:w="4600"/>
            <w:shd w:fill="F2F2F2" w:val="clear"/>
            <w:tcMar>
              <w:top w:type="dxa" w:w="70"/>
              <w:left w:type="dxa" w:w="110"/>
              <w:bottom w:type="dxa" w:w="70"/>
              <w:right w:type="dxa" w:w="110"/>
            </w:tcMar>
            <w:vAlign w:val="center"/>
          </w:tcPr>
          <w:p>
            <w:pPr>
              <w:spacing w:after="0"/>
            </w:pPr>
            <w:r>
              <w:rPr>
                <w:b w:val="false"/>
                <w:bCs w:val="false"/>
                <w:sz w:val="19"/>
                <w:szCs w:val="19"/>
              </w:rPr>
              <w:t xml:space="preserve">População, localidades e malhas territoriais (seção 2.7)</w:t>
            </w:r>
          </w:p>
        </w:tc>
        <w:tc>
          <w:tcPr>
            <w:tcW w:type="dxa" w:w="2400"/>
            <w:shd w:fill="F2F2F2" w:val="clear"/>
            <w:tcMar>
              <w:top w:type="dxa" w:w="70"/>
              <w:left w:type="dxa" w:w="110"/>
              <w:bottom w:type="dxa" w:w="70"/>
              <w:right w:type="dxa" w:w="110"/>
            </w:tcMar>
            <w:vAlign w:val="center"/>
          </w:tcPr>
          <w:p>
            <w:pPr>
              <w:spacing w:after="0"/>
            </w:pPr>
            <w:r>
              <w:rPr>
                <w:b w:val="false"/>
                <w:bCs w:val="false"/>
                <w:sz w:val="19"/>
                <w:szCs w:val="19"/>
              </w:rPr>
              <w:t xml:space="preserve">Alta, base do grupo de pares e do mapa</w:t>
            </w:r>
          </w:p>
        </w:tc>
      </w:tr>
      <w:tr>
        <w:trPr>
          <w:cantSplit/>
        </w:trPr>
        <w:tc>
          <w:tcPr>
            <w:tcW w:type="dxa" w:w="2600"/>
            <w:shd w:fill="FFFFFF" w:val="clear"/>
            <w:tcMar>
              <w:top w:type="dxa" w:w="70"/>
              <w:left w:type="dxa" w:w="110"/>
              <w:bottom w:type="dxa" w:w="70"/>
              <w:right w:type="dxa" w:w="110"/>
            </w:tcMar>
            <w:vAlign w:val="center"/>
          </w:tcPr>
          <w:p>
            <w:pPr>
              <w:spacing w:after="0"/>
            </w:pPr>
            <w:r>
              <w:rPr>
                <w:b w:val="false"/>
                <w:bCs w:val="false"/>
                <w:sz w:val="19"/>
                <w:szCs w:val="19"/>
              </w:rPr>
              <w:t xml:space="preserve">SIOPS e SIOPE</w:t>
            </w:r>
          </w:p>
        </w:tc>
        <w:tc>
          <w:tcPr>
            <w:tcW w:type="dxa" w:w="4600"/>
            <w:shd w:fill="FFFFFF" w:val="clear"/>
            <w:tcMar>
              <w:top w:type="dxa" w:w="70"/>
              <w:left w:type="dxa" w:w="110"/>
              <w:bottom w:type="dxa" w:w="70"/>
              <w:right w:type="dxa" w:w="110"/>
            </w:tcMar>
            <w:vAlign w:val="center"/>
          </w:tcPr>
          <w:p>
            <w:pPr>
              <w:spacing w:after="0"/>
            </w:pPr>
            <w:r>
              <w:rPr>
                <w:b w:val="false"/>
                <w:bCs w:val="false"/>
                <w:sz w:val="19"/>
                <w:szCs w:val="19"/>
              </w:rPr>
              <w:t xml:space="preserve">Aplicação mínima em saúde e educação</w:t>
            </w:r>
          </w:p>
        </w:tc>
        <w:tc>
          <w:tcPr>
            <w:tcW w:type="dxa" w:w="2400"/>
            <w:shd w:fill="FFFFFF" w:val="clear"/>
            <w:tcMar>
              <w:top w:type="dxa" w:w="70"/>
              <w:left w:type="dxa" w:w="110"/>
              <w:bottom w:type="dxa" w:w="70"/>
              <w:right w:type="dxa" w:w="110"/>
            </w:tcMar>
            <w:vAlign w:val="center"/>
          </w:tcPr>
          <w:p>
            <w:pPr>
              <w:spacing w:after="0"/>
            </w:pPr>
            <w:r>
              <w:rPr>
                <w:b w:val="false"/>
                <w:bCs w:val="false"/>
                <w:sz w:val="19"/>
                <w:szCs w:val="19"/>
              </w:rPr>
              <w:t xml:space="preserve">Média</w:t>
            </w:r>
          </w:p>
        </w:tc>
      </w:tr>
      <w:tr>
        <w:trPr>
          <w:cantSplit/>
        </w:trPr>
        <w:tc>
          <w:tcPr>
            <w:tcW w:type="dxa" w:w="2600"/>
            <w:shd w:fill="F2F2F2" w:val="clear"/>
            <w:tcMar>
              <w:top w:type="dxa" w:w="70"/>
              <w:left w:type="dxa" w:w="110"/>
              <w:bottom w:type="dxa" w:w="70"/>
              <w:right w:type="dxa" w:w="110"/>
            </w:tcMar>
            <w:vAlign w:val="center"/>
          </w:tcPr>
          <w:p>
            <w:pPr>
              <w:spacing w:after="0"/>
            </w:pPr>
            <w:r>
              <w:rPr>
                <w:b w:val="false"/>
                <w:bCs w:val="false"/>
                <w:sz w:val="19"/>
                <w:szCs w:val="19"/>
              </w:rPr>
              <w:t xml:space="preserve">Câmara e Senado</w:t>
            </w:r>
          </w:p>
        </w:tc>
        <w:tc>
          <w:tcPr>
            <w:tcW w:type="dxa" w:w="4600"/>
            <w:shd w:fill="F2F2F2" w:val="clear"/>
            <w:tcMar>
              <w:top w:type="dxa" w:w="70"/>
              <w:left w:type="dxa" w:w="110"/>
              <w:bottom w:type="dxa" w:w="70"/>
              <w:right w:type="dxa" w:w="110"/>
            </w:tcMar>
            <w:vAlign w:val="center"/>
          </w:tcPr>
          <w:p>
            <w:pPr>
              <w:spacing w:after="0"/>
            </w:pPr>
            <w:r>
              <w:rPr>
                <w:b w:val="false"/>
                <w:bCs w:val="false"/>
                <w:sz w:val="19"/>
                <w:szCs w:val="19"/>
              </w:rPr>
              <w:t xml:space="preserve">Dados abertos legislativos federais</w:t>
            </w:r>
          </w:p>
        </w:tc>
        <w:tc>
          <w:tcPr>
            <w:tcW w:type="dxa" w:w="2400"/>
            <w:shd w:fill="F2F2F2" w:val="clear"/>
            <w:tcMar>
              <w:top w:type="dxa" w:w="70"/>
              <w:left w:type="dxa" w:w="110"/>
              <w:bottom w:type="dxa" w:w="70"/>
              <w:right w:type="dxa" w:w="110"/>
            </w:tcMar>
            <w:vAlign w:val="center"/>
          </w:tcPr>
          <w:p>
            <w:pPr>
              <w:spacing w:after="0"/>
            </w:pPr>
            <w:r>
              <w:rPr>
                <w:b w:val="false"/>
                <w:bCs w:val="false"/>
                <w:sz w:val="19"/>
                <w:szCs w:val="19"/>
              </w:rPr>
              <w:t xml:space="preserve">Baixa na versão 1.0</w:t>
            </w:r>
          </w:p>
        </w:tc>
      </w:tr>
    </w:tbl>
    <w:tbl>
      <w:tblPr>
        <w:tblW w:type="dxa" w:w="9600"/>
        <w:tblBorders>
          <w:top w:val="single" w:color="C00000" w:sz="6"/>
          <w:left w:val="single" w:color="C00000" w:sz="18"/>
          <w:bottom w:val="single" w:color="C00000" w:sz="6"/>
          <w:right w:val="single" w:color="C00000" w:sz="6"/>
          <w:insideH w:val="none" w:color="FFFFFF" w:sz="0"/>
          <w:insideV w:val="none" w:color="FFFFFF" w:sz="0"/>
        </w:tblBorders>
      </w:tblPr>
      <w:tblGrid>
        <w:gridCol w:w="9600"/>
      </w:tblGrid>
      <w:tr>
        <w:trPr>
          <w:cantSplit/>
        </w:trPr>
        <w:tc>
          <w:tcPr>
            <w:tcW w:type="dxa" w:w="9600"/>
            <w:shd w:fill="FDEDED" w:val="clear"/>
            <w:tcMar>
              <w:top w:type="dxa" w:w="130"/>
              <w:left w:type="dxa" w:w="170"/>
              <w:bottom w:type="dxa" w:w="130"/>
              <w:right w:type="dxa" w:w="150"/>
            </w:tcMar>
          </w:tcPr>
          <w:p>
            <w:pPr>
              <w:spacing w:after="90"/>
            </w:pPr>
            <w:r>
              <w:rPr>
                <w:b/>
                <w:bCs/>
                <w:color w:val="000000"/>
              </w:rPr>
              <w:t xml:space="preserve">Cautela metodológica com dados eleitorais</w:t>
            </w:r>
          </w:p>
          <w:p>
            <w:pPr>
              <w:spacing w:after="70"/>
            </w:pPr>
            <w:r>
              <w:t xml:space="preserve">Cruzar doação eleitoral com contratação pública produz associações de forte apelo, mas também de alto risco de leitura equivocada: a relação pode ser inteiramente lícita e a coincidência, estatisticamente esperada em um universo grande. Esse cruzamento só é publicado como contexto factual anexo a um indício originado por outra regra, e nunca como indício autônomo.</w:t>
            </w:r>
          </w:p>
        </w:tc>
      </w:tr>
    </w:tbl>
    <w:p>
      <w:pPr>
        <w:pStyle w:val="Heading2"/>
        <w:keepNext/>
        <w:keepLines/>
        <w:spacing w:after="120" w:before="280"/>
      </w:pPr>
      <w:bookmarkStart w:name="_Toc12" w:id="12"/>
      <w:r>
        <w:t xml:space="preserve">2.6 TSE — resultados eleitorais (aba Eleições)</w:t>
      </w:r>
      <w:bookmarkEnd w:id="12"/>
    </w:p>
    <w:p>
      <w:pPr>
        <w:spacing w:after="120"/>
      </w:pPr>
      <w:r>
        <w:rPr>
          <w:b w:val="false"/>
          <w:bCs w:val="false"/>
          <w:i w:val="false"/>
          <w:iCs w:val="false"/>
        </w:rPr>
        <w:t xml:space="preserve">A aba Eleições usa duas fontes do TSE, descritas em detalhe no DOC-12. Nenhuma delas alimenta o motor de detecção (ADR-024).</w:t>
      </w:r>
    </w:p>
    <w:tbl>
      <w:tblPr>
        <w:tblW w:type="dxa" w:w="9600"/>
        <w:tblBorders>
          <w:top w:val="single" w:color="BFBFBF" w:sz="4"/>
          <w:left w:val="single" w:color="BFBFBF" w:sz="4"/>
          <w:bottom w:val="single" w:color="BFBFBF" w:sz="4"/>
          <w:right w:val="single" w:color="BFBFBF" w:sz="4"/>
          <w:insideH w:val="single" w:color="D9D9D9" w:sz="2"/>
          <w:insideV w:val="single" w:color="D9D9D9" w:sz="2"/>
        </w:tblBorders>
      </w:tblPr>
      <w:tblGrid>
        <w:gridCol w:w="2000"/>
        <w:gridCol w:w="3600"/>
        <w:gridCol w:w="4000"/>
      </w:tblGrid>
      <w:tr>
        <w:trPr>
          <w:tblHeader/>
        </w:trPr>
        <w:tc>
          <w:tcPr>
            <w:tcW w:type="dxa" w:w="2000"/>
            <w:shd w:fill="1F3864" w:val="clear"/>
            <w:tcMar>
              <w:top w:type="dxa" w:w="80"/>
              <w:left w:type="dxa" w:w="110"/>
              <w:bottom w:type="dxa" w:w="80"/>
              <w:right w:type="dxa" w:w="110"/>
            </w:tcMar>
            <w:vAlign w:val="center"/>
          </w:tcPr>
          <w:p>
            <w:pPr>
              <w:spacing w:after="0"/>
            </w:pPr>
            <w:r>
              <w:rPr>
                <w:b/>
                <w:bCs/>
                <w:color w:val="FFFFFF"/>
                <w:sz w:val="19"/>
                <w:szCs w:val="19"/>
              </w:rPr>
              <w:t xml:space="preserve">Fonte</w:t>
            </w:r>
          </w:p>
        </w:tc>
        <w:tc>
          <w:tcPr>
            <w:tcW w:type="dxa" w:w="3600"/>
            <w:shd w:fill="1F3864" w:val="clear"/>
            <w:tcMar>
              <w:top w:type="dxa" w:w="80"/>
              <w:left w:type="dxa" w:w="110"/>
              <w:bottom w:type="dxa" w:w="80"/>
              <w:right w:type="dxa" w:w="110"/>
            </w:tcMar>
            <w:vAlign w:val="center"/>
          </w:tcPr>
          <w:p>
            <w:pPr>
              <w:spacing w:after="0"/>
            </w:pPr>
            <w:r>
              <w:rPr>
                <w:b/>
                <w:bCs/>
                <w:color w:val="FFFFFF"/>
                <w:sz w:val="19"/>
                <w:szCs w:val="19"/>
              </w:rPr>
              <w:t xml:space="preserve">Endereço</w:t>
            </w:r>
          </w:p>
        </w:tc>
        <w:tc>
          <w:tcPr>
            <w:tcW w:type="dxa" w:w="4000"/>
            <w:shd w:fill="1F3864" w:val="clear"/>
            <w:tcMar>
              <w:top w:type="dxa" w:w="80"/>
              <w:left w:type="dxa" w:w="110"/>
              <w:bottom w:type="dxa" w:w="80"/>
              <w:right w:type="dxa" w:w="110"/>
            </w:tcMar>
            <w:vAlign w:val="center"/>
          </w:tcPr>
          <w:p>
            <w:pPr>
              <w:spacing w:after="0"/>
            </w:pPr>
            <w:r>
              <w:rPr>
                <w:b/>
                <w:bCs/>
                <w:color w:val="FFFFFF"/>
                <w:sz w:val="19"/>
                <w:szCs w:val="19"/>
              </w:rPr>
              <w:t xml:space="preserve">Formato e comportamento observado</w:t>
            </w:r>
          </w:p>
        </w:tc>
      </w:tr>
      <w:tr>
        <w:trPr>
          <w:cantSplit/>
        </w:trPr>
        <w:tc>
          <w:tcPr>
            <w:tcW w:type="dxa" w:w="2000"/>
            <w:shd w:fill="FFFFFF" w:val="clear"/>
            <w:tcMar>
              <w:top w:type="dxa" w:w="70"/>
              <w:left w:type="dxa" w:w="110"/>
              <w:bottom w:type="dxa" w:w="70"/>
              <w:right w:type="dxa" w:w="110"/>
            </w:tcMar>
            <w:vAlign w:val="center"/>
          </w:tcPr>
          <w:p>
            <w:pPr>
              <w:spacing w:after="0"/>
            </w:pPr>
            <w:r>
              <w:rPr>
                <w:b w:val="false"/>
                <w:bCs w:val="false"/>
                <w:sz w:val="17"/>
                <w:szCs w:val="17"/>
              </w:rPr>
              <w:t xml:space="preserve">Sistema de divulgação de resultados</w:t>
            </w:r>
          </w:p>
        </w:tc>
        <w:tc>
          <w:tcPr>
            <w:tcW w:type="dxa" w:w="3600"/>
            <w:shd w:fill="FFFFFF" w:val="clear"/>
            <w:tcMar>
              <w:top w:type="dxa" w:w="70"/>
              <w:left w:type="dxa" w:w="110"/>
              <w:bottom w:type="dxa" w:w="70"/>
              <w:right w:type="dxa" w:w="110"/>
            </w:tcMar>
            <w:vAlign w:val="center"/>
          </w:tcPr>
          <w:p>
            <w:pPr>
              <w:spacing w:after="0"/>
            </w:pPr>
            <w:r>
              <w:rPr>
                <w:b w:val="false"/>
                <w:bCs w:val="false"/>
                <w:sz w:val="17"/>
                <w:szCs w:val="17"/>
              </w:rPr>
              <w:t xml:space="preserve">https://resultados.tse.jus.br/oficial</w:t>
            </w:r>
          </w:p>
        </w:tc>
        <w:tc>
          <w:tcPr>
            <w:tcW w:type="dxa" w:w="4000"/>
            <w:shd w:fill="FFFFFF" w:val="clear"/>
            <w:tcMar>
              <w:top w:type="dxa" w:w="70"/>
              <w:left w:type="dxa" w:w="110"/>
              <w:bottom w:type="dxa" w:w="70"/>
              <w:right w:type="dxa" w:w="110"/>
            </w:tcMar>
            <w:vAlign w:val="center"/>
          </w:tcPr>
          <w:p>
            <w:pPr>
              <w:spacing w:after="0"/>
            </w:pPr>
            <w:r>
              <w:rPr>
                <w:b w:val="false"/>
                <w:bCs w:val="false"/>
                <w:sz w:val="17"/>
                <w:szCs w:val="17"/>
              </w:rPr>
              <w:t xml:space="preserve">JSON estático por CDN; números como texto com vírgula decimal; data e hora em campos separados, no horário de Brasília; responde 304 a If-Modified-Since. Mantém só eleições recentes.</w:t>
            </w:r>
          </w:p>
        </w:tc>
      </w:tr>
      <w:tr>
        <w:trPr>
          <w:cantSplit/>
        </w:trPr>
        <w:tc>
          <w:tcPr>
            <w:tcW w:type="dxa" w:w="2000"/>
            <w:shd w:fill="F2F2F2" w:val="clear"/>
            <w:tcMar>
              <w:top w:type="dxa" w:w="70"/>
              <w:left w:type="dxa" w:w="110"/>
              <w:bottom w:type="dxa" w:w="70"/>
              <w:right w:type="dxa" w:w="110"/>
            </w:tcMar>
            <w:vAlign w:val="center"/>
          </w:tcPr>
          <w:p>
            <w:pPr>
              <w:spacing w:after="0"/>
            </w:pPr>
            <w:r>
              <w:rPr>
                <w:b w:val="false"/>
                <w:bCs w:val="false"/>
                <w:sz w:val="17"/>
                <w:szCs w:val="17"/>
              </w:rPr>
              <w:t xml:space="preserve">Portal de Dados Abertos, 1994 a 2024</w:t>
            </w:r>
          </w:p>
        </w:tc>
        <w:tc>
          <w:tcPr>
            <w:tcW w:type="dxa" w:w="3600"/>
            <w:shd w:fill="F2F2F2" w:val="clear"/>
            <w:tcMar>
              <w:top w:type="dxa" w:w="70"/>
              <w:left w:type="dxa" w:w="110"/>
              <w:bottom w:type="dxa" w:w="70"/>
              <w:right w:type="dxa" w:w="110"/>
            </w:tcMar>
            <w:vAlign w:val="center"/>
          </w:tcPr>
          <w:p>
            <w:pPr>
              <w:spacing w:after="0"/>
            </w:pPr>
            <w:r>
              <w:rPr>
                <w:b w:val="false"/>
                <w:bCs w:val="false"/>
                <w:sz w:val="17"/>
                <w:szCs w:val="17"/>
              </w:rPr>
              <w:t xml:space="preserve">dadosabertos.tse.jus.br (CKAN) e cdn.tse.jus.br (ZIPs)</w:t>
            </w:r>
          </w:p>
        </w:tc>
        <w:tc>
          <w:tcPr>
            <w:tcW w:type="dxa" w:w="4000"/>
            <w:shd w:fill="F2F2F2" w:val="clear"/>
            <w:tcMar>
              <w:top w:type="dxa" w:w="70"/>
              <w:left w:type="dxa" w:w="110"/>
              <w:bottom w:type="dxa" w:w="70"/>
              <w:right w:type="dxa" w:w="110"/>
            </w:tcMar>
            <w:vAlign w:val="center"/>
          </w:tcPr>
          <w:p>
            <w:pPr>
              <w:spacing w:after="0"/>
            </w:pPr>
            <w:r>
              <w:rPr>
                <w:b w:val="false"/>
                <w:bCs w:val="false"/>
                <w:sz w:val="17"/>
                <w:szCs w:val="17"/>
              </w:rPr>
              <w:t xml:space="preserve">CSV Latin-1 com ;, 38, 44 ou 50 colunas conforme o ano; um arquivo por UF, um _BR (Presidente) e um _BRASIL que concatena todos e é ignorado. Diferenças de 1994, 2000 e 2002 a 2014 tratadas no DOC-12.</w:t>
            </w:r>
          </w:p>
        </w:tc>
      </w:tr>
      <w:tr>
        <w:trPr>
          <w:cantSplit/>
        </w:trPr>
        <w:tc>
          <w:tcPr>
            <w:tcW w:type="dxa" w:w="2000"/>
            <w:shd w:fill="FFFFFF" w:val="clear"/>
            <w:tcMar>
              <w:top w:type="dxa" w:w="70"/>
              <w:left w:type="dxa" w:w="110"/>
              <w:bottom w:type="dxa" w:w="70"/>
              <w:right w:type="dxa" w:w="110"/>
            </w:tcMar>
            <w:vAlign w:val="center"/>
          </w:tcPr>
          <w:p>
            <w:pPr>
              <w:spacing w:after="0"/>
            </w:pPr>
            <w:r>
              <w:rPr>
                <w:b w:val="false"/>
                <w:bCs w:val="false"/>
                <w:sz w:val="17"/>
                <w:szCs w:val="17"/>
              </w:rPr>
              <w:t xml:space="preserve">Portal de Dados Abertos, 1933 a 1990</w:t>
            </w:r>
          </w:p>
        </w:tc>
        <w:tc>
          <w:tcPr>
            <w:tcW w:type="dxa" w:w="3600"/>
            <w:shd w:fill="FFFFFF" w:val="clear"/>
            <w:tcMar>
              <w:top w:type="dxa" w:w="70"/>
              <w:left w:type="dxa" w:w="110"/>
              <w:bottom w:type="dxa" w:w="70"/>
              <w:right w:type="dxa" w:w="110"/>
            </w:tcMar>
            <w:vAlign w:val="center"/>
          </w:tcPr>
          <w:p>
            <w:pPr>
              <w:spacing w:after="0"/>
            </w:pPr>
            <w:r>
              <w:rPr>
                <w:b w:val="false"/>
                <w:bCs w:val="false"/>
                <w:sz w:val="17"/>
                <w:szCs w:val="17"/>
              </w:rPr>
              <w:t xml:space="preserve">cdn.tse.jus.br/estatistica/sead/odsele (votacao_candidato_uf, detalhe_votacao_uf, votacao_partido_uf)</w:t>
            </w:r>
          </w:p>
        </w:tc>
        <w:tc>
          <w:tcPr>
            <w:tcW w:type="dxa" w:w="4000"/>
            <w:shd w:fill="FFFFFF" w:val="clear"/>
            <w:tcMar>
              <w:top w:type="dxa" w:w="70"/>
              <w:left w:type="dxa" w:w="110"/>
              <w:bottom w:type="dxa" w:w="70"/>
              <w:right w:type="dxa" w:w="110"/>
            </w:tcMar>
            <w:vAlign w:val="center"/>
          </w:tcPr>
          <w:p>
            <w:pPr>
              <w:spacing w:after="0"/>
            </w:pPr>
            <w:r>
              <w:rPr>
                <w:b w:val="false"/>
                <w:bCs w:val="false"/>
                <w:sz w:val="17"/>
                <w:szCs w:val="17"/>
              </w:rPr>
              <w:t xml:space="preserve">Só por UF; texto Latin-1 sem cabeçalho (exceto 1933 e 1934), com bytes do Windows-1252; colunas na ordem do Leia-me (26, 22 e 17); candidatos sem número até os anos 1980; UFs extintas; o arquivo de partido de 1989 não existe. Tratado no DOC-12, seção 3.2, e no ADR-025.</w:t>
            </w:r>
          </w:p>
        </w:tc>
      </w:tr>
    </w:tbl>
    <w:p>
      <w:pPr>
        <w:spacing w:after="120"/>
      </w:pPr>
      <w:r>
        <w:rPr>
          <w:b w:val="false"/>
          <w:bCs w:val="false"/>
          <w:i w:val="false"/>
          <w:iCs w:val="false"/>
        </w:rPr>
        <w:t xml:space="preserve">Limites padrão: 300 requisições por minuto no sistema de resultados (servido por CDN) e 30 nos dados abertos. Os ZIPs (642 MB só a votação de 2022) são baixados com retomada e manifesto (ADR-021).</w:t>
      </w:r>
    </w:p>
    <w:p>
      <w:pPr>
        <w:spacing w:after="120"/>
      </w:pPr>
      <w:r>
        <w:rPr>
          <w:b w:val="false"/>
          <w:bCs w:val="false"/>
          <w:i w:val="false"/>
          <w:iCs w:val="false"/>
        </w:rPr>
        <w:t xml:space="preserve">A prestação de contas de campanha — doações e despesas — é outra fonte, ainda não integrada; é pré-requisito da regra K-01 e segue a cautela abaixo.</w:t>
      </w:r>
    </w:p>
    <w:p>
      <w:pPr>
        <w:pStyle w:val="Heading2"/>
        <w:keepNext/>
        <w:keepLines/>
        <w:spacing w:after="120" w:before="280"/>
      </w:pPr>
      <w:bookmarkStart w:name="_Toc13" w:id="13"/>
      <w:r>
        <w:t xml:space="preserve">2.7 IBGE — localidades, população e malhas</w:t>
      </w:r>
      <w:bookmarkEnd w:id="13"/>
    </w:p>
    <w:tbl>
      <w:tblPr>
        <w:tblW w:type="dxa" w:w="9600"/>
        <w:tblBorders>
          <w:top w:val="single" w:color="BFBFBF" w:sz="4"/>
          <w:left w:val="single" w:color="BFBFBF" w:sz="4"/>
          <w:bottom w:val="single" w:color="BFBFBF" w:sz="4"/>
          <w:right w:val="single" w:color="BFBFBF" w:sz="4"/>
          <w:insideH w:val="single" w:color="D9D9D9" w:sz="2"/>
          <w:insideV w:val="single" w:color="D9D9D9" w:sz="2"/>
        </w:tblBorders>
      </w:tblPr>
      <w:tblGrid>
        <w:gridCol w:w="2200"/>
        <w:gridCol w:w="4400"/>
        <w:gridCol w:w="3000"/>
      </w:tblGrid>
      <w:tr>
        <w:trPr>
          <w:tblHeader/>
        </w:trPr>
        <w:tc>
          <w:tcPr>
            <w:tcW w:type="dxa" w:w="2200"/>
            <w:shd w:fill="1F3864" w:val="clear"/>
            <w:tcMar>
              <w:top w:type="dxa" w:w="80"/>
              <w:left w:type="dxa" w:w="110"/>
              <w:bottom w:type="dxa" w:w="80"/>
              <w:right w:type="dxa" w:w="110"/>
            </w:tcMar>
            <w:vAlign w:val="center"/>
          </w:tcPr>
          <w:p>
            <w:pPr>
              <w:spacing w:after="0"/>
            </w:pPr>
            <w:r>
              <w:rPr>
                <w:b/>
                <w:bCs/>
                <w:color w:val="FFFFFF"/>
                <w:sz w:val="19"/>
                <w:szCs w:val="19"/>
              </w:rPr>
              <w:t xml:space="preserve">Recurso</w:t>
            </w:r>
          </w:p>
        </w:tc>
        <w:tc>
          <w:tcPr>
            <w:tcW w:type="dxa" w:w="4400"/>
            <w:shd w:fill="1F3864" w:val="clear"/>
            <w:tcMar>
              <w:top w:type="dxa" w:w="80"/>
              <w:left w:type="dxa" w:w="110"/>
              <w:bottom w:type="dxa" w:w="80"/>
              <w:right w:type="dxa" w:w="110"/>
            </w:tcMar>
            <w:vAlign w:val="center"/>
          </w:tcPr>
          <w:p>
            <w:pPr>
              <w:spacing w:after="0"/>
            </w:pPr>
            <w:r>
              <w:rPr>
                <w:b/>
                <w:bCs/>
                <w:color w:val="FFFFFF"/>
                <w:sz w:val="19"/>
                <w:szCs w:val="19"/>
              </w:rPr>
              <w:t xml:space="preserve">Endereço</w:t>
            </w:r>
          </w:p>
        </w:tc>
        <w:tc>
          <w:tcPr>
            <w:tcW w:type="dxa" w:w="3000"/>
            <w:shd w:fill="1F3864" w:val="clear"/>
            <w:tcMar>
              <w:top w:type="dxa" w:w="80"/>
              <w:left w:type="dxa" w:w="110"/>
              <w:bottom w:type="dxa" w:w="80"/>
              <w:right w:type="dxa" w:w="110"/>
            </w:tcMar>
            <w:vAlign w:val="center"/>
          </w:tcPr>
          <w:p>
            <w:pPr>
              <w:spacing w:after="0"/>
            </w:pPr>
            <w:r>
              <w:rPr>
                <w:b/>
                <w:bCs/>
                <w:color w:val="FFFFFF"/>
                <w:sz w:val="19"/>
                <w:szCs w:val="19"/>
              </w:rPr>
              <w:t xml:space="preserve">Uso</w:t>
            </w:r>
          </w:p>
        </w:tc>
      </w:tr>
      <w:tr>
        <w:trPr>
          <w:cantSplit/>
        </w:trPr>
        <w:tc>
          <w:tcPr>
            <w:tcW w:type="dxa" w:w="2200"/>
            <w:shd w:fill="FFFFFF" w:val="clear"/>
            <w:tcMar>
              <w:top w:type="dxa" w:w="70"/>
              <w:left w:type="dxa" w:w="110"/>
              <w:bottom w:type="dxa" w:w="70"/>
              <w:right w:type="dxa" w:w="110"/>
            </w:tcMar>
            <w:vAlign w:val="center"/>
          </w:tcPr>
          <w:p>
            <w:pPr>
              <w:spacing w:after="0"/>
            </w:pPr>
            <w:r>
              <w:rPr>
                <w:b w:val="false"/>
                <w:bCs w:val="false"/>
                <w:sz w:val="17"/>
                <w:szCs w:val="17"/>
              </w:rPr>
              <w:t xml:space="preserve">Localidades</w:t>
            </w:r>
          </w:p>
        </w:tc>
        <w:tc>
          <w:tcPr>
            <w:tcW w:type="dxa" w:w="4400"/>
            <w:shd w:fill="FFFFFF" w:val="clear"/>
            <w:tcMar>
              <w:top w:type="dxa" w:w="70"/>
              <w:left w:type="dxa" w:w="110"/>
              <w:bottom w:type="dxa" w:w="70"/>
              <w:right w:type="dxa" w:w="110"/>
            </w:tcMar>
            <w:vAlign w:val="center"/>
          </w:tcPr>
          <w:p>
            <w:pPr>
              <w:spacing w:after="0"/>
            </w:pPr>
            <w:r>
              <w:rPr>
                <w:b w:val="false"/>
                <w:bCs w:val="false"/>
                <w:sz w:val="17"/>
                <w:szCs w:val="17"/>
              </w:rPr>
              <w:t xml:space="preserve">servicodados.ibge.gov.br/api/v1/localidades (visão nivelado)</w:t>
            </w:r>
          </w:p>
        </w:tc>
        <w:tc>
          <w:tcPr>
            <w:tcW w:type="dxa" w:w="3000"/>
            <w:shd w:fill="FFFFFF" w:val="clear"/>
            <w:tcMar>
              <w:top w:type="dxa" w:w="70"/>
              <w:left w:type="dxa" w:w="110"/>
              <w:bottom w:type="dxa" w:w="70"/>
              <w:right w:type="dxa" w:w="110"/>
            </w:tcMar>
            <w:vAlign w:val="center"/>
          </w:tcPr>
          <w:p>
            <w:pPr>
              <w:spacing w:after="0"/>
            </w:pPr>
            <w:r>
              <w:rPr>
                <w:b w:val="false"/>
                <w:bCs w:val="false"/>
                <w:sz w:val="17"/>
                <w:szCs w:val="17"/>
              </w:rPr>
              <w:t xml:space="preserve">Cadastro de UFs e municípios; 5.571 municípios em outubro de 2026</w:t>
            </w:r>
          </w:p>
        </w:tc>
      </w:tr>
      <w:tr>
        <w:trPr>
          <w:cantSplit/>
        </w:trPr>
        <w:tc>
          <w:tcPr>
            <w:tcW w:type="dxa" w:w="2200"/>
            <w:shd w:fill="F2F2F2" w:val="clear"/>
            <w:tcMar>
              <w:top w:type="dxa" w:w="70"/>
              <w:left w:type="dxa" w:w="110"/>
              <w:bottom w:type="dxa" w:w="70"/>
              <w:right w:type="dxa" w:w="110"/>
            </w:tcMar>
            <w:vAlign w:val="center"/>
          </w:tcPr>
          <w:p>
            <w:pPr>
              <w:spacing w:after="0"/>
            </w:pPr>
            <w:r>
              <w:rPr>
                <w:b w:val="false"/>
                <w:bCs w:val="false"/>
                <w:sz w:val="17"/>
                <w:szCs w:val="17"/>
              </w:rPr>
              <w:t xml:space="preserve">População</w:t>
            </w:r>
          </w:p>
        </w:tc>
        <w:tc>
          <w:tcPr>
            <w:tcW w:type="dxa" w:w="4400"/>
            <w:shd w:fill="F2F2F2" w:val="clear"/>
            <w:tcMar>
              <w:top w:type="dxa" w:w="70"/>
              <w:left w:type="dxa" w:w="110"/>
              <w:bottom w:type="dxa" w:w="70"/>
              <w:right w:type="dxa" w:w="110"/>
            </w:tcMar>
            <w:vAlign w:val="center"/>
          </w:tcPr>
          <w:p>
            <w:pPr>
              <w:spacing w:after="0"/>
            </w:pPr>
            <w:r>
              <w:rPr>
                <w:b w:val="false"/>
                <w:bCs w:val="false"/>
                <w:sz w:val="17"/>
                <w:szCs w:val="17"/>
              </w:rPr>
              <w:t xml:space="preserve">SIDRA, agregado 6579, variável 9324, último período</w:t>
            </w:r>
          </w:p>
        </w:tc>
        <w:tc>
          <w:tcPr>
            <w:tcW w:type="dxa" w:w="3000"/>
            <w:shd w:fill="F2F2F2" w:val="clear"/>
            <w:tcMar>
              <w:top w:type="dxa" w:w="70"/>
              <w:left w:type="dxa" w:w="110"/>
              <w:bottom w:type="dxa" w:w="70"/>
              <w:right w:type="dxa" w:w="110"/>
            </w:tcMar>
            <w:vAlign w:val="center"/>
          </w:tcPr>
          <w:p>
            <w:pPr>
              <w:spacing w:after="0"/>
            </w:pPr>
            <w:r>
              <w:rPr>
                <w:b w:val="false"/>
                <w:bCs w:val="false"/>
                <w:sz w:val="17"/>
                <w:szCs w:val="17"/>
              </w:rPr>
              <w:t xml:space="preserve">Gasto per capita e grupo de pares</w:t>
            </w:r>
          </w:p>
        </w:tc>
      </w:tr>
      <w:tr>
        <w:trPr>
          <w:cantSplit/>
        </w:trPr>
        <w:tc>
          <w:tcPr>
            <w:tcW w:type="dxa" w:w="2200"/>
            <w:shd w:fill="FFFFFF" w:val="clear"/>
            <w:tcMar>
              <w:top w:type="dxa" w:w="70"/>
              <w:left w:type="dxa" w:w="110"/>
              <w:bottom w:type="dxa" w:w="70"/>
              <w:right w:type="dxa" w:w="110"/>
            </w:tcMar>
            <w:vAlign w:val="center"/>
          </w:tcPr>
          <w:p>
            <w:pPr>
              <w:spacing w:after="0"/>
            </w:pPr>
            <w:r>
              <w:rPr>
                <w:b w:val="false"/>
                <w:bCs w:val="false"/>
                <w:sz w:val="17"/>
                <w:szCs w:val="17"/>
              </w:rPr>
              <w:t xml:space="preserve">Malhas v3</w:t>
            </w:r>
          </w:p>
        </w:tc>
        <w:tc>
          <w:tcPr>
            <w:tcW w:type="dxa" w:w="4400"/>
            <w:shd w:fill="FFFFFF" w:val="clear"/>
            <w:tcMar>
              <w:top w:type="dxa" w:w="70"/>
              <w:left w:type="dxa" w:w="110"/>
              <w:bottom w:type="dxa" w:w="70"/>
              <w:right w:type="dxa" w:w="110"/>
            </w:tcMar>
            <w:vAlign w:val="center"/>
          </w:tcPr>
          <w:p>
            <w:pPr>
              <w:spacing w:after="0"/>
            </w:pPr>
            <w:r>
              <w:rPr>
                <w:b w:val="false"/>
                <w:bCs w:val="false"/>
                <w:sz w:val="17"/>
                <w:szCs w:val="17"/>
              </w:rPr>
              <w:t xml:space="preserve">servicodados.ibge.gov.br/api/v3/malhas, formato TopoJSON</w:t>
            </w:r>
          </w:p>
        </w:tc>
        <w:tc>
          <w:tcPr>
            <w:tcW w:type="dxa" w:w="3000"/>
            <w:shd w:fill="FFFFFF" w:val="clear"/>
            <w:tcMar>
              <w:top w:type="dxa" w:w="70"/>
              <w:left w:type="dxa" w:w="110"/>
              <w:bottom w:type="dxa" w:w="70"/>
              <w:right w:type="dxa" w:w="110"/>
            </w:tcMar>
            <w:vAlign w:val="center"/>
          </w:tcPr>
          <w:p>
            <w:pPr>
              <w:spacing w:after="0"/>
            </w:pPr>
            <w:r>
              <w:rPr>
                <w:b w:val="false"/>
                <w:bCs w:val="false"/>
                <w:sz w:val="17"/>
                <w:szCs w:val="17"/>
              </w:rPr>
              <w:t xml:space="preserve">Mapa da aba Eleições; código IBGE em codarea</w:t>
            </w:r>
          </w:p>
        </w:tc>
      </w:tr>
      <w:tr>
        <w:trPr>
          <w:cantSplit/>
        </w:trPr>
        <w:tc>
          <w:tcPr>
            <w:tcW w:type="dxa" w:w="2200"/>
            <w:shd w:fill="F2F2F2" w:val="clear"/>
            <w:tcMar>
              <w:top w:type="dxa" w:w="70"/>
              <w:left w:type="dxa" w:w="110"/>
              <w:bottom w:type="dxa" w:w="70"/>
              <w:right w:type="dxa" w:w="110"/>
            </w:tcMar>
            <w:vAlign w:val="center"/>
          </w:tcPr>
          <w:p>
            <w:pPr>
              <w:spacing w:after="0"/>
            </w:pPr>
            <w:r>
              <w:rPr>
                <w:b w:val="false"/>
                <w:bCs w:val="false"/>
                <w:sz w:val="17"/>
                <w:szCs w:val="17"/>
              </w:rPr>
              <w:t xml:space="preserve">SIDRA (valores)</w:t>
            </w:r>
          </w:p>
        </w:tc>
        <w:tc>
          <w:tcPr>
            <w:tcW w:type="dxa" w:w="4400"/>
            <w:shd w:fill="F2F2F2" w:val="clear"/>
            <w:tcMar>
              <w:top w:type="dxa" w:w="70"/>
              <w:left w:type="dxa" w:w="110"/>
              <w:bottom w:type="dxa" w:w="70"/>
              <w:right w:type="dxa" w:w="110"/>
            </w:tcMar>
            <w:vAlign w:val="center"/>
          </w:tcPr>
          <w:p>
            <w:pPr>
              <w:spacing w:after="0"/>
            </w:pPr>
            <w:r>
              <w:rPr>
                <w:b w:val="false"/>
                <w:bCs w:val="false"/>
                <w:sz w:val="17"/>
                <w:szCs w:val="17"/>
              </w:rPr>
              <w:t xml:space="preserve">apisidra.ibge.gov.br/values, tabela 6579 (população estimada; n1 e n6) e tabela 4709 (Censo 2022)</w:t>
            </w:r>
          </w:p>
        </w:tc>
        <w:tc>
          <w:tcPr>
            <w:tcW w:type="dxa" w:w="3000"/>
            <w:shd w:fill="F2F2F2" w:val="clear"/>
            <w:tcMar>
              <w:top w:type="dxa" w:w="70"/>
              <w:left w:type="dxa" w:w="110"/>
              <w:bottom w:type="dxa" w:w="70"/>
              <w:right w:type="dxa" w:w="110"/>
            </w:tcMar>
            <w:vAlign w:val="center"/>
          </w:tcPr>
          <w:p>
            <w:pPr>
              <w:spacing w:after="0"/>
            </w:pPr>
            <w:r>
              <w:rPr>
                <w:b w:val="false"/>
                <w:bCs w:val="false"/>
                <w:sz w:val="17"/>
                <w:szCs w:val="17"/>
              </w:rPr>
              <w:t xml:space="preserve">População do país na Economia e de cada município nos governos municipais (ADR-040), com as quebras de método de 2013 e 2024</w:t>
            </w:r>
          </w:p>
        </w:tc>
      </w:tr>
      <w:tr>
        <w:trPr>
          <w:cantSplit/>
        </w:trPr>
        <w:tc>
          <w:tcPr>
            <w:tcW w:type="dxa" w:w="2200"/>
            <w:shd w:fill="FFFFFF" w:val="clear"/>
            <w:tcMar>
              <w:top w:type="dxa" w:w="70"/>
              <w:left w:type="dxa" w:w="110"/>
              <w:bottom w:type="dxa" w:w="70"/>
              <w:right w:type="dxa" w:w="110"/>
            </w:tcMar>
            <w:vAlign w:val="center"/>
          </w:tcPr>
          <w:p>
            <w:pPr>
              <w:spacing w:after="0"/>
            </w:pPr>
            <w:r>
              <w:rPr>
                <w:b w:val="false"/>
                <w:bCs w:val="false"/>
                <w:sz w:val="17"/>
                <w:szCs w:val="17"/>
              </w:rPr>
              <w:t xml:space="preserve">SIDRA (valores)</w:t>
            </w:r>
          </w:p>
        </w:tc>
        <w:tc>
          <w:tcPr>
            <w:tcW w:type="dxa" w:w="4400"/>
            <w:shd w:fill="FFFFFF" w:val="clear"/>
            <w:tcMar>
              <w:top w:type="dxa" w:w="70"/>
              <w:left w:type="dxa" w:w="110"/>
              <w:bottom w:type="dxa" w:w="70"/>
              <w:right w:type="dxa" w:w="110"/>
            </w:tcMar>
            <w:vAlign w:val="center"/>
          </w:tcPr>
          <w:p>
            <w:pPr>
              <w:spacing w:after="0"/>
            </w:pPr>
            <w:r>
              <w:rPr>
                <w:b w:val="false"/>
                <w:bCs w:val="false"/>
                <w:sz w:val="17"/>
                <w:szCs w:val="17"/>
              </w:rPr>
              <w:t xml:space="preserve">apisidra.ibge.gov.br/values, tabela 6390, variável 5933</w:t>
            </w:r>
          </w:p>
        </w:tc>
        <w:tc>
          <w:tcPr>
            <w:tcW w:type="dxa" w:w="3000"/>
            <w:shd w:fill="FFFFFF" w:val="clear"/>
            <w:tcMar>
              <w:top w:type="dxa" w:w="70"/>
              <w:left w:type="dxa" w:w="110"/>
              <w:bottom w:type="dxa" w:w="70"/>
              <w:right w:type="dxa" w:w="110"/>
            </w:tcMar>
            <w:vAlign w:val="center"/>
          </w:tcPr>
          <w:p>
            <w:pPr>
              <w:spacing w:after="0"/>
            </w:pPr>
            <w:r>
              <w:rPr>
                <w:b w:val="false"/>
                <w:bCs w:val="false"/>
                <w:sz w:val="17"/>
                <w:szCs w:val="17"/>
              </w:rPr>
              <w:t xml:space="preserve">Rendimento médio real habitual da PNAD Contínua na área Economia, por trimestre móvel; recalculado inteiro a cada divulgação, por isso a série é regravada a cada coleta (ADR-033)</w:t>
            </w:r>
          </w:p>
        </w:tc>
      </w:tr>
      <w:tr>
        <w:trPr>
          <w:cantSplit/>
        </w:trPr>
        <w:tc>
          <w:tcPr>
            <w:tcW w:type="dxa" w:w="2200"/>
            <w:shd w:fill="F2F2F2" w:val="clear"/>
            <w:tcMar>
              <w:top w:type="dxa" w:w="70"/>
              <w:left w:type="dxa" w:w="110"/>
              <w:bottom w:type="dxa" w:w="70"/>
              <w:right w:type="dxa" w:w="110"/>
            </w:tcMar>
            <w:vAlign w:val="center"/>
          </w:tcPr>
          <w:p>
            <w:pPr>
              <w:spacing w:after="0"/>
            </w:pPr>
            <w:r>
              <w:rPr>
                <w:b w:val="false"/>
                <w:bCs w:val="false"/>
                <w:sz w:val="17"/>
                <w:szCs w:val="17"/>
              </w:rPr>
              <w:t xml:space="preserve">Notícias v3 (releases)</w:t>
            </w:r>
          </w:p>
        </w:tc>
        <w:tc>
          <w:tcPr>
            <w:tcW w:type="dxa" w:w="4400"/>
            <w:shd w:fill="F2F2F2" w:val="clear"/>
            <w:tcMar>
              <w:top w:type="dxa" w:w="70"/>
              <w:left w:type="dxa" w:w="110"/>
              <w:bottom w:type="dxa" w:w="70"/>
              <w:right w:type="dxa" w:w="110"/>
            </w:tcMar>
            <w:vAlign w:val="center"/>
          </w:tcPr>
          <w:p>
            <w:pPr>
              <w:spacing w:after="0"/>
            </w:pPr>
            <w:r>
              <w:rPr>
                <w:b w:val="false"/>
                <w:bCs w:val="false"/>
                <w:sz w:val="17"/>
                <w:szCs w:val="17"/>
              </w:rPr>
              <w:t xml:space="preserve">servicodados.ibge.gov.br/api/v3/noticias, tipo=release e idproduto</w:t>
            </w:r>
          </w:p>
        </w:tc>
        <w:tc>
          <w:tcPr>
            <w:tcW w:type="dxa" w:w="3000"/>
            <w:shd w:fill="F2F2F2" w:val="clear"/>
            <w:tcMar>
              <w:top w:type="dxa" w:w="70"/>
              <w:left w:type="dxa" w:w="110"/>
              <w:bottom w:type="dxa" w:w="70"/>
              <w:right w:type="dxa" w:w="110"/>
            </w:tcMar>
            <w:vAlign w:val="center"/>
          </w:tcPr>
          <w:p>
            <w:pPr>
              <w:spacing w:after="0"/>
            </w:pPr>
            <w:r>
              <w:rPr>
                <w:b w:val="false"/>
                <w:bCs w:val="false"/>
                <w:sz w:val="17"/>
                <w:szCs w:val="17"/>
              </w:rPr>
              <w:t xml:space="preserve">Releases da Agência de Notícias ao lado do IPCA, do INPC e do PIB na área Economia (ADR-033, adendo de 20/10/2026); data como dd/mm/aaaa hh:mm:ss e link em http</w:t>
            </w:r>
          </w:p>
        </w:tc>
      </w:tr>
    </w:tbl>
    <w:p>
      <w:pPr>
        <w:spacing w:after="120"/>
      </w:pPr>
      <w:r>
        <w:rPr>
          <w:b w:val="false"/>
          <w:bCs w:val="false"/>
          <w:i w:val="false"/>
          <w:iCs w:val="false"/>
        </w:rPr>
        <w:t xml:space="preserve">Sem autenticação. Limite padrão do Lumen: 30 requisições por minuto. A API responde comprimida (Content-Encoding: gzip) mesmo quando o pedido não pede compressão, como o teste de contrato diário mostrou em outubro de 2026; a coleta desfaz a compressão de transporte antes de guardar no bronze e registra a codificação recebida no cabeçalho X-Lumen-Codificacao-Recebida.</w:t>
      </w:r>
    </w:p>
    <w:p>
      <w:pPr>
        <w:pStyle w:val="Heading2"/>
        <w:keepNext/>
        <w:keepLines/>
        <w:spacing w:after="120" w:before="280"/>
      </w:pPr>
      <w:bookmarkStart w:name="_Toc14" w:id="14"/>
      <w:r>
        <w:t xml:space="preserve">2.8 Referência de mercado de fora do governo (regra A-05)</w:t>
      </w:r>
      <w:bookmarkEnd w:id="14"/>
    </w:p>
    <w:p>
      <w:pPr>
        <w:spacing w:after="120"/>
      </w:pPr>
      <w:r>
        <w:rPr>
          <w:b w:val="false"/>
          <w:bCs w:val="false"/>
          <w:i w:val="false"/>
          <w:iCs w:val="false"/>
        </w:rPr>
        <w:t xml:space="preserve">Fontes que não são compras públicas e servem de régua para o preço que o governo pagou (ADR-027). Nenhuma delas é usada para afirmar nada sobre um ente: a regra A-05 roda em modo silencioso até a calibração.</w:t>
      </w:r>
    </w:p>
    <w:tbl>
      <w:tblPr>
        <w:tblW w:type="dxa" w:w="9600"/>
        <w:tblBorders>
          <w:top w:val="single" w:color="BFBFBF" w:sz="4"/>
          <w:left w:val="single" w:color="BFBFBF" w:sz="4"/>
          <w:bottom w:val="single" w:color="BFBFBF" w:sz="4"/>
          <w:right w:val="single" w:color="BFBFBF" w:sz="4"/>
          <w:insideH w:val="single" w:color="D9D9D9" w:sz="2"/>
          <w:insideV w:val="single" w:color="D9D9D9" w:sz="2"/>
        </w:tblBorders>
      </w:tblPr>
      <w:tblGrid>
        <w:gridCol w:w="2200"/>
        <w:gridCol w:w="3800"/>
        <w:gridCol w:w="3600"/>
      </w:tblGrid>
      <w:tr>
        <w:trPr>
          <w:tblHeader/>
        </w:trPr>
        <w:tc>
          <w:tcPr>
            <w:tcW w:type="dxa" w:w="2200"/>
            <w:shd w:fill="1F3864" w:val="clear"/>
            <w:tcMar>
              <w:top w:type="dxa" w:w="80"/>
              <w:left w:type="dxa" w:w="110"/>
              <w:bottom w:type="dxa" w:w="80"/>
              <w:right w:type="dxa" w:w="110"/>
            </w:tcMar>
            <w:vAlign w:val="center"/>
          </w:tcPr>
          <w:p>
            <w:pPr>
              <w:spacing w:after="0"/>
            </w:pPr>
            <w:r>
              <w:rPr>
                <w:b/>
                <w:bCs/>
                <w:color w:val="FFFFFF"/>
                <w:sz w:val="19"/>
                <w:szCs w:val="19"/>
              </w:rPr>
              <w:t xml:space="preserve">Fonte</w:t>
            </w:r>
          </w:p>
        </w:tc>
        <w:tc>
          <w:tcPr>
            <w:tcW w:type="dxa" w:w="3800"/>
            <w:shd w:fill="1F3864" w:val="clear"/>
            <w:tcMar>
              <w:top w:type="dxa" w:w="80"/>
              <w:left w:type="dxa" w:w="110"/>
              <w:bottom w:type="dxa" w:w="80"/>
              <w:right w:type="dxa" w:w="110"/>
            </w:tcMar>
            <w:vAlign w:val="center"/>
          </w:tcPr>
          <w:p>
            <w:pPr>
              <w:spacing w:after="0"/>
            </w:pPr>
            <w:r>
              <w:rPr>
                <w:b/>
                <w:bCs/>
                <w:color w:val="FFFFFF"/>
                <w:sz w:val="19"/>
                <w:szCs w:val="19"/>
              </w:rPr>
              <w:t xml:space="preserve">Endereço</w:t>
            </w:r>
          </w:p>
        </w:tc>
        <w:tc>
          <w:tcPr>
            <w:tcW w:type="dxa" w:w="3600"/>
            <w:shd w:fill="1F3864" w:val="clear"/>
            <w:tcMar>
              <w:top w:type="dxa" w:w="80"/>
              <w:left w:type="dxa" w:w="110"/>
              <w:bottom w:type="dxa" w:w="80"/>
              <w:right w:type="dxa" w:w="110"/>
            </w:tcMar>
            <w:vAlign w:val="center"/>
          </w:tcPr>
          <w:p>
            <w:pPr>
              <w:spacing w:after="0"/>
            </w:pPr>
            <w:r>
              <w:rPr>
                <w:b/>
                <w:bCs/>
                <w:color w:val="FFFFFF"/>
                <w:sz w:val="19"/>
                <w:szCs w:val="19"/>
              </w:rPr>
              <w:t xml:space="preserve">Formato e comportamento</w:t>
            </w:r>
          </w:p>
        </w:tc>
      </w:tr>
      <w:tr>
        <w:trPr>
          <w:cantSplit/>
        </w:trPr>
        <w:tc>
          <w:tcPr>
            <w:tcW w:type="dxa" w:w="2200"/>
            <w:shd w:fill="FFFFFF" w:val="clear"/>
            <w:tcMar>
              <w:top w:type="dxa" w:w="70"/>
              <w:left w:type="dxa" w:w="110"/>
              <w:bottom w:type="dxa" w:w="70"/>
              <w:right w:type="dxa" w:w="110"/>
            </w:tcMar>
            <w:vAlign w:val="center"/>
          </w:tcPr>
          <w:p>
            <w:pPr>
              <w:spacing w:after="0"/>
            </w:pPr>
            <w:r>
              <w:rPr>
                <w:b w:val="false"/>
                <w:bCs w:val="false"/>
                <w:sz w:val="17"/>
                <w:szCs w:val="17"/>
              </w:rPr>
              <w:t xml:space="preserve">ANP — série histórica de preços de combustíveis</w:t>
            </w:r>
          </w:p>
        </w:tc>
        <w:tc>
          <w:tcPr>
            <w:tcW w:type="dxa" w:w="3800"/>
            <w:shd w:fill="FFFFFF" w:val="clear"/>
            <w:tcMar>
              <w:top w:type="dxa" w:w="70"/>
              <w:left w:type="dxa" w:w="110"/>
              <w:bottom w:type="dxa" w:w="70"/>
              <w:right w:type="dxa" w:w="110"/>
            </w:tcMar>
            <w:vAlign w:val="center"/>
          </w:tcPr>
          <w:p>
            <w:pPr>
              <w:spacing w:after="0"/>
            </w:pPr>
            <w:r>
              <w:rPr>
                <w:b w:val="false"/>
                <w:bCs w:val="false"/>
                <w:sz w:val="17"/>
                <w:szCs w:val="17"/>
              </w:rPr>
              <w:t xml:space="preserve">gov.br/anp/.../dados-abertos/arquivos/shpc/dsas/ca/ca-AAAA-0S.zip (até 2021, .csv; o 1º semestre de 2022 é precos-semestrais-ca.zip)</w:t>
            </w:r>
          </w:p>
        </w:tc>
        <w:tc>
          <w:tcPr>
            <w:tcW w:type="dxa" w:w="3600"/>
            <w:shd w:fill="FFFFFF" w:val="clear"/>
            <w:tcMar>
              <w:top w:type="dxa" w:w="70"/>
              <w:left w:type="dxa" w:w="110"/>
              <w:bottom w:type="dxa" w:w="70"/>
              <w:right w:type="dxa" w:w="110"/>
            </w:tcMar>
            <w:vAlign w:val="center"/>
          </w:tcPr>
          <w:p>
            <w:pPr>
              <w:spacing w:after="0"/>
            </w:pPr>
            <w:r>
              <w:rPr>
                <w:b w:val="false"/>
                <w:bCs w:val="false"/>
                <w:sz w:val="17"/>
                <w:szCs w:val="17"/>
              </w:rPr>
              <w:t xml:space="preserve">CSV com ;, uma linha por posto, produto e semana: UF, município, revenda e CNPJ, produto, data da coleta, valor de venda com vírgula decimal. Arquivo semestral, publicado depois do fim do semestre; desde 2006. Leitura tolerante a nome de coluna, separador e codificação.</w:t>
            </w:r>
          </w:p>
        </w:tc>
      </w:tr>
      <w:tr>
        <w:trPr>
          <w:cantSplit/>
        </w:trPr>
        <w:tc>
          <w:tcPr>
            <w:tcW w:type="dxa" w:w="2200"/>
            <w:shd w:fill="F2F2F2" w:val="clear"/>
            <w:tcMar>
              <w:top w:type="dxa" w:w="70"/>
              <w:left w:type="dxa" w:w="110"/>
              <w:bottom w:type="dxa" w:w="70"/>
              <w:right w:type="dxa" w:w="110"/>
            </w:tcMar>
            <w:vAlign w:val="center"/>
          </w:tcPr>
          <w:p>
            <w:pPr>
              <w:spacing w:after="0"/>
            </w:pPr>
            <w:r>
              <w:rPr>
                <w:b w:val="false"/>
                <w:bCs w:val="false"/>
                <w:sz w:val="17"/>
                <w:szCs w:val="17"/>
              </w:rPr>
              <w:t xml:space="preserve">ANP — série histórica do gás de cozinha</w:t>
            </w:r>
          </w:p>
        </w:tc>
        <w:tc>
          <w:tcPr>
            <w:tcW w:type="dxa" w:w="3800"/>
            <w:shd w:fill="F2F2F2" w:val="clear"/>
            <w:tcMar>
              <w:top w:type="dxa" w:w="70"/>
              <w:left w:type="dxa" w:w="110"/>
              <w:bottom w:type="dxa" w:w="70"/>
              <w:right w:type="dxa" w:w="110"/>
            </w:tcMar>
            <w:vAlign w:val="center"/>
          </w:tcPr>
          <w:p>
            <w:pPr>
              <w:spacing w:after="0"/>
            </w:pPr>
            <w:r>
              <w:rPr>
                <w:b w:val="false"/>
                <w:bCs w:val="false"/>
                <w:sz w:val="17"/>
                <w:szCs w:val="17"/>
              </w:rPr>
              <w:t xml:space="preserve">gov.br/anp/.../dsas/glp/glp-AAAA-0S.csv, sempre .csv, desde 2004 (2021-1 é precos-semestrais-glp2021-01.csv e 2022-1, precos-semestrais-glp-2022-01.csv)</w:t>
            </w:r>
          </w:p>
        </w:tc>
        <w:tc>
          <w:tcPr>
            <w:tcW w:type="dxa" w:w="3600"/>
            <w:shd w:fill="F2F2F2" w:val="clear"/>
            <w:tcMar>
              <w:top w:type="dxa" w:w="70"/>
              <w:left w:type="dxa" w:w="110"/>
              <w:bottom w:type="dxa" w:w="70"/>
              <w:right w:type="dxa" w:w="110"/>
            </w:tcMar>
            <w:vAlign w:val="center"/>
          </w:tcPr>
          <w:p>
            <w:pPr>
              <w:spacing w:after="0"/>
            </w:pPr>
            <w:r>
              <w:rPr>
                <w:b w:val="false"/>
                <w:bCs w:val="false"/>
                <w:sz w:val="17"/>
                <w:szCs w:val="17"/>
              </w:rPr>
              <w:t xml:space="preserve">Mesmo formato da série de combustíveis, com o preço do botijão de 13 kg (R$ / 13 kg).</w:t>
            </w:r>
          </w:p>
        </w:tc>
      </w:tr>
      <w:tr>
        <w:trPr>
          <w:cantSplit/>
        </w:trPr>
        <w:tc>
          <w:tcPr>
            <w:tcW w:type="dxa" w:w="2200"/>
            <w:shd w:fill="FFFFFF" w:val="clear"/>
            <w:tcMar>
              <w:top w:type="dxa" w:w="70"/>
              <w:left w:type="dxa" w:w="110"/>
              <w:bottom w:type="dxa" w:w="70"/>
              <w:right w:type="dxa" w:w="110"/>
            </w:tcMar>
            <w:vAlign w:val="center"/>
          </w:tcPr>
          <w:p>
            <w:pPr>
              <w:spacing w:after="0"/>
            </w:pPr>
            <w:r>
              <w:rPr>
                <w:b w:val="false"/>
                <w:bCs w:val="false"/>
                <w:sz w:val="17"/>
                <w:szCs w:val="17"/>
              </w:rPr>
              <w:t xml:space="preserve">ANP — levantamento das últimas semanas</w:t>
            </w:r>
          </w:p>
        </w:tc>
        <w:tc>
          <w:tcPr>
            <w:tcW w:type="dxa" w:w="3800"/>
            <w:shd w:fill="FFFFFF" w:val="clear"/>
            <w:tcMar>
              <w:top w:type="dxa" w:w="70"/>
              <w:left w:type="dxa" w:w="110"/>
              <w:bottom w:type="dxa" w:w="70"/>
              <w:right w:type="dxa" w:w="110"/>
            </w:tcMar>
            <w:vAlign w:val="center"/>
          </w:tcPr>
          <w:p>
            <w:pPr>
              <w:spacing w:after="0"/>
            </w:pPr>
            <w:r>
              <w:rPr>
                <w:b w:val="false"/>
                <w:bCs w:val="false"/>
                <w:sz w:val="17"/>
                <w:szCs w:val="17"/>
              </w:rPr>
              <w:t xml:space="preserve">gov.br/anp/.../precos/levantamento-de-precos-de-combustiveis-ultimas-semanas-pesquisadas; planilhas em arquivos-lpc/AAAA/revendas_lpc_&lt;início&gt;_&lt;fim&gt;.xlsx</w:t>
            </w:r>
          </w:p>
        </w:tc>
        <w:tc>
          <w:tcPr>
            <w:tcW w:type="dxa" w:w="3600"/>
            <w:shd w:fill="FFFFFF" w:val="clear"/>
            <w:tcMar>
              <w:top w:type="dxa" w:w="70"/>
              <w:left w:type="dxa" w:w="110"/>
              <w:bottom w:type="dxa" w:w="70"/>
              <w:right w:type="dxa" w:w="110"/>
            </w:tcMar>
            <w:vAlign w:val="center"/>
          </w:tcPr>
          <w:p>
            <w:pPr>
              <w:spacing w:after="0"/>
            </w:pPr>
            <w:r>
              <w:rPr>
                <w:b w:val="false"/>
                <w:bCs w:val="false"/>
                <w:sz w:val="17"/>
                <w:szCs w:val="17"/>
              </w:rPr>
              <w:t xml:space="preserve">Planilha .xlsx por semana (cerca de 1,8 MB e 20 mil coletas), posto a posto, com combustíveis e GLP: sete linhas de título antes do cabeçalho, CNPJ só com dígitos (às vezes sem o zero à esquerda), UF pelo nome do estado, preço como número e data como número de série do Excel, nomes de produto próprios (GASOLINA COMUM, DIESEL S500). O nome do arquivo não segue padrão fixo (2026-08-30-2026-09-5): os endereços são tirados da página, que em outubro de 2026 citava 192 semanas, de setembro de 2022 em diante. Lida sem dependências (lumen_mercado/xlsx.py).</w:t>
            </w:r>
          </w:p>
        </w:tc>
      </w:tr>
      <w:tr>
        <w:trPr>
          <w:cantSplit/>
        </w:trPr>
        <w:tc>
          <w:tcPr>
            <w:tcW w:type="dxa" w:w="2200"/>
            <w:shd w:fill="F2F2F2" w:val="clear"/>
            <w:tcMar>
              <w:top w:type="dxa" w:w="70"/>
              <w:left w:type="dxa" w:w="110"/>
              <w:bottom w:type="dxa" w:w="70"/>
              <w:right w:type="dxa" w:w="110"/>
            </w:tcMar>
            <w:vAlign w:val="center"/>
          </w:tcPr>
          <w:p>
            <w:pPr>
              <w:spacing w:after="0"/>
            </w:pPr>
            <w:r>
              <w:rPr>
                <w:b w:val="false"/>
                <w:bCs w:val="false"/>
                <w:sz w:val="17"/>
                <w:szCs w:val="17"/>
              </w:rPr>
              <w:t xml:space="preserve">Mercado Livre — busca</w:t>
            </w:r>
          </w:p>
        </w:tc>
        <w:tc>
          <w:tcPr>
            <w:tcW w:type="dxa" w:w="3800"/>
            <w:shd w:fill="F2F2F2" w:val="clear"/>
            <w:tcMar>
              <w:top w:type="dxa" w:w="70"/>
              <w:left w:type="dxa" w:w="110"/>
              <w:bottom w:type="dxa" w:w="70"/>
              <w:right w:type="dxa" w:w="110"/>
            </w:tcMar>
            <w:vAlign w:val="center"/>
          </w:tcPr>
          <w:p>
            <w:pPr>
              <w:spacing w:after="0"/>
            </w:pPr>
            <w:r>
              <w:rPr>
                <w:b w:val="false"/>
                <w:bCs w:val="false"/>
                <w:sz w:val="17"/>
                <w:szCs w:val="17"/>
              </w:rPr>
              <w:t xml:space="preserve">api.mercadolibre.com/sites/MLB/search?q=…</w:t>
            </w:r>
          </w:p>
        </w:tc>
        <w:tc>
          <w:tcPr>
            <w:tcW w:type="dxa" w:w="3600"/>
            <w:shd w:fill="F2F2F2" w:val="clear"/>
            <w:tcMar>
              <w:top w:type="dxa" w:w="70"/>
              <w:left w:type="dxa" w:w="110"/>
              <w:bottom w:type="dxa" w:w="70"/>
              <w:right w:type="dxa" w:w="110"/>
            </w:tcMar>
            <w:vAlign w:val="center"/>
          </w:tcPr>
          <w:p>
            <w:pPr>
              <w:spacing w:after="0"/>
            </w:pPr>
            <w:r>
              <w:rPr>
                <w:b w:val="false"/>
                <w:bCs w:val="false"/>
                <w:sz w:val="17"/>
                <w:szCs w:val="17"/>
              </w:rPr>
              <w:t xml:space="preserve">JSON com results (id, title, price, currency_id, condition, permalink, seller, shipping). API oficial; sem credencial responde 403 (visto em 9/10/2026), e o token vem de LUMEN_ML_TOKEN. Só o preço de hoje: coleta diária guardada no bronze.</w:t>
            </w:r>
          </w:p>
        </w:tc>
      </w:tr>
      <w:tr>
        <w:trPr>
          <w:cantSplit/>
        </w:trPr>
        <w:tc>
          <w:tcPr>
            <w:tcW w:type="dxa" w:w="2200"/>
            <w:shd w:fill="FFFFFF" w:val="clear"/>
            <w:tcMar>
              <w:top w:type="dxa" w:w="70"/>
              <w:left w:type="dxa" w:w="110"/>
              <w:bottom w:type="dxa" w:w="70"/>
              <w:right w:type="dxa" w:w="110"/>
            </w:tcMar>
            <w:vAlign w:val="center"/>
          </w:tcPr>
          <w:p>
            <w:pPr>
              <w:spacing w:after="0"/>
            </w:pPr>
            <w:r>
              <w:rPr>
                <w:b w:val="false"/>
                <w:bCs w:val="false"/>
                <w:sz w:val="17"/>
                <w:szCs w:val="17"/>
              </w:rPr>
              <w:t xml:space="preserve">Notas fiscais ao consumidor (Menor Preço/PR, Preço da Hora/BA)</w:t>
            </w:r>
          </w:p>
        </w:tc>
        <w:tc>
          <w:tcPr>
            <w:tcW w:type="dxa" w:w="3800"/>
            <w:shd w:fill="FFFFFF" w:val="clear"/>
            <w:tcMar>
              <w:top w:type="dxa" w:w="70"/>
              <w:left w:type="dxa" w:w="110"/>
              <w:bottom w:type="dxa" w:w="70"/>
              <w:right w:type="dxa" w:w="110"/>
            </w:tcMar>
            <w:vAlign w:val="center"/>
          </w:tcPr>
          <w:p>
            <w:pPr>
              <w:spacing w:after="0"/>
            </w:pPr>
            <w:r>
              <w:rPr>
                <w:b w:val="false"/>
                <w:bCs w:val="false"/>
                <w:sz w:val="17"/>
                <w:szCs w:val="17"/>
              </w:rPr>
              <w:t xml:space="preserve">menorpreco.notaparana.pr.gov.br; precodahora.ba.gov.br</w:t>
            </w:r>
          </w:p>
        </w:tc>
        <w:tc>
          <w:tcPr>
            <w:tcW w:type="dxa" w:w="3600"/>
            <w:shd w:fill="FFFFFF" w:val="clear"/>
            <w:tcMar>
              <w:top w:type="dxa" w:w="70"/>
              <w:left w:type="dxa" w:w="110"/>
              <w:bottom w:type="dxa" w:w="70"/>
              <w:right w:type="dxa" w:w="110"/>
            </w:tcMar>
            <w:vAlign w:val="center"/>
          </w:tcPr>
          <w:p>
            <w:pPr>
              <w:spacing w:after="0"/>
            </w:pPr>
            <w:r>
              <w:rPr>
                <w:b w:val="false"/>
                <w:bCs w:val="false"/>
                <w:sz w:val="17"/>
                <w:szCs w:val="17"/>
              </w:rPr>
              <w:t xml:space="preserve">Preço de venda real por código de barras e lugar; sem API pública. Pedido de acesso pela Lei de Acesso à Informação, a fazer.</w:t>
            </w:r>
          </w:p>
        </w:tc>
      </w:tr>
    </w:tbl>
    <w:p>
      <w:pPr>
        <w:spacing w:after="120"/>
      </w:pPr>
      <w:r>
        <w:rPr>
          <w:b w:val="false"/>
          <w:bCs w:val="false"/>
          <w:i w:val="false"/>
          <w:iCs w:val="false"/>
        </w:rPr>
        <w:t xml:space="preserve">Fora por decisão: Magazine Luiza, KaBuM, Pichau e comparadores de preço (Zoom, Buscapé) não têm API pública de preços, e extrair o site contraria os termos de uso e as barreiras contra robôs (seção 5). Amazon (Creators API), AliExpress e Shopee (programas de afiliados) entram quando houver credencial.</w:t>
      </w:r>
    </w:p>
    <w:p>
      <w:pPr>
        <w:spacing w:after="120"/>
      </w:pPr>
      <w:r>
        <w:rPr>
          <w:b w:val="false"/>
          <w:bCs w:val="false"/>
          <w:i w:val="false"/>
          <w:iCs w:val="false"/>
        </w:rPr>
        <w:t xml:space="preserve">Limites padrão: 10 requisições por minuto na ANP (arquivos grandes, poucas requisições) e 30 no varejo.</w:t>
      </w:r>
    </w:p>
    <w:p>
      <w:r>
        <w:br w:type="page"/>
      </w:r>
    </w:p>
    <w:p>
      <w:pPr>
        <w:pStyle w:val="Heading1"/>
        <w:keepNext/>
        <w:keepLines/>
        <w:spacing w:after="160" w:before="380"/>
      </w:pPr>
      <w:bookmarkStart w:name="_Toc15" w:id="15"/>
      <w:r>
        <w:t xml:space="preserve">3. Camada 2 — Estados e tribunais de contas</w:t>
      </w:r>
      <w:bookmarkEnd w:id="15"/>
    </w:p>
    <w:p>
      <w:pPr>
        <w:spacing w:after="120"/>
      </w:pPr>
      <w:r>
        <w:rPr>
          <w:b w:val="false"/>
          <w:bCs w:val="false"/>
          <w:i w:val="false"/>
          <w:iCs w:val="false"/>
        </w:rPr>
        <w:t xml:space="preserve">As 27 unidades federativas possuem portais próprios com maturidade desigual. Os tribunais de contas estaduais, por sua vez, concentram dados dos municípios de sua jurisdição, o que os torna atalhos valiosos: integrar um TCE pode significar cobrir centenas de municípios com detalhe superior ao disponível nas bases federais.</w:t>
      </w:r>
    </w:p>
    <w:tbl>
      <w:tblPr>
        <w:tblW w:type="dxa" w:w="9600"/>
        <w:tblBorders>
          <w:top w:val="single" w:color="BFBFBF" w:sz="4"/>
          <w:left w:val="single" w:color="BFBFBF" w:sz="4"/>
          <w:bottom w:val="single" w:color="BFBFBF" w:sz="4"/>
          <w:right w:val="single" w:color="BFBFBF" w:sz="4"/>
          <w:insideH w:val="single" w:color="D9D9D9" w:sz="2"/>
          <w:insideV w:val="single" w:color="D9D9D9" w:sz="2"/>
        </w:tblBorders>
      </w:tblPr>
      <w:tblGrid>
        <w:gridCol w:w="2600"/>
        <w:gridCol w:w="1800"/>
        <w:gridCol w:w="5200"/>
      </w:tblGrid>
      <w:tr>
        <w:trPr>
          <w:tblHeader/>
        </w:trPr>
        <w:tc>
          <w:tcPr>
            <w:tcW w:type="dxa" w:w="2600"/>
            <w:shd w:fill="1F3864" w:val="clear"/>
            <w:tcMar>
              <w:top w:type="dxa" w:w="80"/>
              <w:left w:type="dxa" w:w="110"/>
              <w:bottom w:type="dxa" w:w="80"/>
              <w:right w:type="dxa" w:w="110"/>
            </w:tcMar>
            <w:vAlign w:val="center"/>
          </w:tcPr>
          <w:p>
            <w:pPr>
              <w:spacing w:after="0"/>
            </w:pPr>
            <w:r>
              <w:rPr>
                <w:b/>
                <w:bCs/>
                <w:color w:val="FFFFFF"/>
                <w:sz w:val="19"/>
                <w:szCs w:val="19"/>
              </w:rPr>
              <w:t xml:space="preserve">Tipo de fonte</w:t>
            </w:r>
          </w:p>
        </w:tc>
        <w:tc>
          <w:tcPr>
            <w:tcW w:type="dxa" w:w="1800"/>
            <w:shd w:fill="1F3864" w:val="clear"/>
            <w:tcMar>
              <w:top w:type="dxa" w:w="80"/>
              <w:left w:type="dxa" w:w="110"/>
              <w:bottom w:type="dxa" w:w="80"/>
              <w:right w:type="dxa" w:w="110"/>
            </w:tcMar>
            <w:vAlign w:val="center"/>
          </w:tcPr>
          <w:p>
            <w:pPr>
              <w:spacing w:after="0"/>
            </w:pPr>
            <w:r>
              <w:rPr>
                <w:b/>
                <w:bCs/>
                <w:color w:val="FFFFFF"/>
                <w:sz w:val="19"/>
                <w:szCs w:val="19"/>
              </w:rPr>
              <w:t xml:space="preserve">Quantidade</w:t>
            </w:r>
          </w:p>
        </w:tc>
        <w:tc>
          <w:tcPr>
            <w:tcW w:type="dxa" w:w="5200"/>
            <w:shd w:fill="1F3864" w:val="clear"/>
            <w:tcMar>
              <w:top w:type="dxa" w:w="80"/>
              <w:left w:type="dxa" w:w="110"/>
              <w:bottom w:type="dxa" w:w="80"/>
              <w:right w:type="dxa" w:w="110"/>
            </w:tcMar>
            <w:vAlign w:val="center"/>
          </w:tcPr>
          <w:p>
            <w:pPr>
              <w:spacing w:after="0"/>
            </w:pPr>
            <w:r>
              <w:rPr>
                <w:b/>
                <w:bCs/>
                <w:color w:val="FFFFFF"/>
                <w:sz w:val="19"/>
                <w:szCs w:val="19"/>
              </w:rPr>
              <w:t xml:space="preserve">Estratégia</w:t>
            </w:r>
          </w:p>
        </w:tc>
      </w:tr>
      <w:tr>
        <w:trPr>
          <w:cantSplit/>
        </w:trPr>
        <w:tc>
          <w:tcPr>
            <w:tcW w:type="dxa" w:w="2600"/>
            <w:shd w:fill="FFFFFF" w:val="clear"/>
            <w:tcMar>
              <w:top w:type="dxa" w:w="70"/>
              <w:left w:type="dxa" w:w="110"/>
              <w:bottom w:type="dxa" w:w="70"/>
              <w:right w:type="dxa" w:w="110"/>
            </w:tcMar>
            <w:vAlign w:val="center"/>
          </w:tcPr>
          <w:p>
            <w:pPr>
              <w:spacing w:after="0"/>
            </w:pPr>
            <w:r>
              <w:rPr>
                <w:b w:val="false"/>
                <w:bCs w:val="false"/>
                <w:sz w:val="19"/>
                <w:szCs w:val="19"/>
              </w:rPr>
              <w:t xml:space="preserve">Portal estadual do Executivo</w:t>
            </w:r>
          </w:p>
        </w:tc>
        <w:tc>
          <w:tcPr>
            <w:tcW w:type="dxa" w:w="1800"/>
            <w:shd w:fill="FFFFFF" w:val="clear"/>
            <w:tcMar>
              <w:top w:type="dxa" w:w="70"/>
              <w:left w:type="dxa" w:w="110"/>
              <w:bottom w:type="dxa" w:w="70"/>
              <w:right w:type="dxa" w:w="110"/>
            </w:tcMar>
            <w:vAlign w:val="center"/>
          </w:tcPr>
          <w:p>
            <w:pPr>
              <w:spacing w:after="0"/>
            </w:pPr>
            <w:r>
              <w:rPr>
                <w:b w:val="false"/>
                <w:bCs w:val="false"/>
                <w:sz w:val="19"/>
                <w:szCs w:val="19"/>
              </w:rPr>
              <w:t xml:space="preserve">27</w:t>
            </w:r>
          </w:p>
        </w:tc>
        <w:tc>
          <w:tcPr>
            <w:tcW w:type="dxa" w:w="5200"/>
            <w:shd w:fill="FFFFFF" w:val="clear"/>
            <w:tcMar>
              <w:top w:type="dxa" w:w="70"/>
              <w:left w:type="dxa" w:w="110"/>
              <w:bottom w:type="dxa" w:w="70"/>
              <w:right w:type="dxa" w:w="110"/>
            </w:tcMar>
            <w:vAlign w:val="center"/>
          </w:tcPr>
          <w:p>
            <w:pPr>
              <w:spacing w:after="0"/>
            </w:pPr>
            <w:r>
              <w:rPr>
                <w:b w:val="false"/>
                <w:bCs w:val="false"/>
                <w:sz w:val="19"/>
                <w:szCs w:val="19"/>
              </w:rPr>
              <w:t xml:space="preserve">Conector declarativo quando houver dado estruturado; API quando existir</w:t>
            </w:r>
          </w:p>
        </w:tc>
      </w:tr>
      <w:tr>
        <w:trPr>
          <w:cantSplit/>
        </w:trPr>
        <w:tc>
          <w:tcPr>
            <w:tcW w:type="dxa" w:w="2600"/>
            <w:shd w:fill="F2F2F2" w:val="clear"/>
            <w:tcMar>
              <w:top w:type="dxa" w:w="70"/>
              <w:left w:type="dxa" w:w="110"/>
              <w:bottom w:type="dxa" w:w="70"/>
              <w:right w:type="dxa" w:w="110"/>
            </w:tcMar>
            <w:vAlign w:val="center"/>
          </w:tcPr>
          <w:p>
            <w:pPr>
              <w:spacing w:after="0"/>
            </w:pPr>
            <w:r>
              <w:rPr>
                <w:b w:val="false"/>
                <w:bCs w:val="false"/>
                <w:sz w:val="19"/>
                <w:szCs w:val="19"/>
              </w:rPr>
              <w:t xml:space="preserve">Tribunal de Contas do Estado</w:t>
            </w:r>
          </w:p>
        </w:tc>
        <w:tc>
          <w:tcPr>
            <w:tcW w:type="dxa" w:w="1800"/>
            <w:shd w:fill="F2F2F2" w:val="clear"/>
            <w:tcMar>
              <w:top w:type="dxa" w:w="70"/>
              <w:left w:type="dxa" w:w="110"/>
              <w:bottom w:type="dxa" w:w="70"/>
              <w:right w:type="dxa" w:w="110"/>
            </w:tcMar>
            <w:vAlign w:val="center"/>
          </w:tcPr>
          <w:p>
            <w:pPr>
              <w:spacing w:after="0"/>
            </w:pPr>
            <w:r>
              <w:rPr>
                <w:b w:val="false"/>
                <w:bCs w:val="false"/>
                <w:sz w:val="19"/>
                <w:szCs w:val="19"/>
              </w:rPr>
              <w:t xml:space="preserve">26 mais o do DF</w:t>
            </w:r>
          </w:p>
        </w:tc>
        <w:tc>
          <w:tcPr>
            <w:tcW w:type="dxa" w:w="5200"/>
            <w:shd w:fill="F2F2F2" w:val="clear"/>
            <w:tcMar>
              <w:top w:type="dxa" w:w="70"/>
              <w:left w:type="dxa" w:w="110"/>
              <w:bottom w:type="dxa" w:w="70"/>
              <w:right w:type="dxa" w:w="110"/>
            </w:tcMar>
            <w:vAlign w:val="center"/>
          </w:tcPr>
          <w:p>
            <w:pPr>
              <w:spacing w:after="0"/>
            </w:pPr>
            <w:r>
              <w:rPr>
                <w:b w:val="false"/>
                <w:bCs w:val="false"/>
                <w:sz w:val="19"/>
                <w:szCs w:val="19"/>
              </w:rPr>
              <w:t xml:space="preserve">Prioridade alta; cobre municípios da jurisdição</w:t>
            </w:r>
          </w:p>
        </w:tc>
      </w:tr>
      <w:tr>
        <w:trPr>
          <w:cantSplit/>
        </w:trPr>
        <w:tc>
          <w:tcPr>
            <w:tcW w:type="dxa" w:w="2600"/>
            <w:shd w:fill="FFFFFF" w:val="clear"/>
            <w:tcMar>
              <w:top w:type="dxa" w:w="70"/>
              <w:left w:type="dxa" w:w="110"/>
              <w:bottom w:type="dxa" w:w="70"/>
              <w:right w:type="dxa" w:w="110"/>
            </w:tcMar>
            <w:vAlign w:val="center"/>
          </w:tcPr>
          <w:p>
            <w:pPr>
              <w:spacing w:after="0"/>
            </w:pPr>
            <w:r>
              <w:rPr>
                <w:b w:val="false"/>
                <w:bCs w:val="false"/>
                <w:sz w:val="19"/>
                <w:szCs w:val="19"/>
              </w:rPr>
              <w:t xml:space="preserve">Tribunal de Contas dos Municípios</w:t>
            </w:r>
          </w:p>
        </w:tc>
        <w:tc>
          <w:tcPr>
            <w:tcW w:type="dxa" w:w="1800"/>
            <w:shd w:fill="FFFFFF" w:val="clear"/>
            <w:tcMar>
              <w:top w:type="dxa" w:w="70"/>
              <w:left w:type="dxa" w:w="110"/>
              <w:bottom w:type="dxa" w:w="70"/>
              <w:right w:type="dxa" w:w="110"/>
            </w:tcMar>
            <w:vAlign w:val="center"/>
          </w:tcPr>
          <w:p>
            <w:pPr>
              <w:spacing w:after="0"/>
            </w:pPr>
            <w:r>
              <w:rPr>
                <w:b w:val="false"/>
                <w:bCs w:val="false"/>
                <w:sz w:val="19"/>
                <w:szCs w:val="19"/>
              </w:rPr>
              <w:t xml:space="preserve">Existente em alguns estados</w:t>
            </w:r>
          </w:p>
        </w:tc>
        <w:tc>
          <w:tcPr>
            <w:tcW w:type="dxa" w:w="5200"/>
            <w:shd w:fill="FFFFFF" w:val="clear"/>
            <w:tcMar>
              <w:top w:type="dxa" w:w="70"/>
              <w:left w:type="dxa" w:w="110"/>
              <w:bottom w:type="dxa" w:w="70"/>
              <w:right w:type="dxa" w:w="110"/>
            </w:tcMar>
            <w:vAlign w:val="center"/>
          </w:tcPr>
          <w:p>
            <w:pPr>
              <w:spacing w:after="0"/>
            </w:pPr>
            <w:r>
              <w:rPr>
                <w:b w:val="false"/>
                <w:bCs w:val="false"/>
                <w:sz w:val="19"/>
                <w:szCs w:val="19"/>
              </w:rPr>
              <w:t xml:space="preserve">Prioridade alta onde existir</w:t>
            </w:r>
          </w:p>
        </w:tc>
      </w:tr>
      <w:tr>
        <w:trPr>
          <w:cantSplit/>
        </w:trPr>
        <w:tc>
          <w:tcPr>
            <w:tcW w:type="dxa" w:w="2600"/>
            <w:shd w:fill="F2F2F2" w:val="clear"/>
            <w:tcMar>
              <w:top w:type="dxa" w:w="70"/>
              <w:left w:type="dxa" w:w="110"/>
              <w:bottom w:type="dxa" w:w="70"/>
              <w:right w:type="dxa" w:w="110"/>
            </w:tcMar>
            <w:vAlign w:val="center"/>
          </w:tcPr>
          <w:p>
            <w:pPr>
              <w:spacing w:after="0"/>
            </w:pPr>
            <w:r>
              <w:rPr>
                <w:b w:val="false"/>
                <w:bCs w:val="false"/>
                <w:sz w:val="19"/>
                <w:szCs w:val="19"/>
              </w:rPr>
              <w:t xml:space="preserve">Assembleias legislativas</w:t>
            </w:r>
          </w:p>
        </w:tc>
        <w:tc>
          <w:tcPr>
            <w:tcW w:type="dxa" w:w="1800"/>
            <w:shd w:fill="F2F2F2" w:val="clear"/>
            <w:tcMar>
              <w:top w:type="dxa" w:w="70"/>
              <w:left w:type="dxa" w:w="110"/>
              <w:bottom w:type="dxa" w:w="70"/>
              <w:right w:type="dxa" w:w="110"/>
            </w:tcMar>
            <w:vAlign w:val="center"/>
          </w:tcPr>
          <w:p>
            <w:pPr>
              <w:spacing w:after="0"/>
            </w:pPr>
            <w:r>
              <w:rPr>
                <w:b w:val="false"/>
                <w:bCs w:val="false"/>
                <w:sz w:val="19"/>
                <w:szCs w:val="19"/>
              </w:rPr>
              <w:t xml:space="preserve">27</w:t>
            </w:r>
          </w:p>
        </w:tc>
        <w:tc>
          <w:tcPr>
            <w:tcW w:type="dxa" w:w="5200"/>
            <w:shd w:fill="F2F2F2" w:val="clear"/>
            <w:tcMar>
              <w:top w:type="dxa" w:w="70"/>
              <w:left w:type="dxa" w:w="110"/>
              <w:bottom w:type="dxa" w:w="70"/>
              <w:right w:type="dxa" w:w="110"/>
            </w:tcMar>
            <w:vAlign w:val="center"/>
          </w:tcPr>
          <w:p>
            <w:pPr>
              <w:spacing w:after="0"/>
            </w:pPr>
            <w:r>
              <w:rPr>
                <w:b w:val="false"/>
                <w:bCs w:val="false"/>
                <w:sz w:val="19"/>
                <w:szCs w:val="19"/>
              </w:rPr>
              <w:t xml:space="preserve">Prioridade baixa na versão 1.0</w:t>
            </w:r>
          </w:p>
        </w:tc>
      </w:tr>
    </w:tbl>
    <w:p>
      <w:pPr>
        <w:spacing w:after="120"/>
      </w:pPr>
      <w:r>
        <w:rPr>
          <w:b w:val="false"/>
          <w:bCs w:val="false"/>
          <w:i w:val="false"/>
          <w:iCs w:val="false"/>
        </w:rPr>
        <w:t xml:space="preserve">A ordem de ataque dentro da camada 2 é definida por um critério simples: número de municípios cobertos por integração construída. Tribunais de contas com dados abertos consolidados vêm primeiro; portais estaduais isolados vêm por último.</w:t>
      </w:r>
    </w:p>
    <w:p>
      <w:pPr>
        <w:pStyle w:val="Heading1"/>
        <w:keepNext/>
        <w:keepLines/>
        <w:spacing w:after="160" w:before="380"/>
      </w:pPr>
      <w:bookmarkStart w:name="_Toc16" w:id="16"/>
      <w:r>
        <w:t xml:space="preserve">4. Camada 3 — Municípios</w:t>
      </w:r>
      <w:bookmarkEnd w:id="16"/>
    </w:p>
    <w:p>
      <w:pPr>
        <w:pStyle w:val="Heading2"/>
        <w:keepNext/>
        <w:keepLines/>
        <w:spacing w:after="120" w:before="280"/>
      </w:pPr>
      <w:bookmarkStart w:name="_Toc17" w:id="17"/>
      <w:r>
        <w:t xml:space="preserve">4.1 Abordagem por família de plataforma</w:t>
      </w:r>
      <w:bookmarkEnd w:id="17"/>
    </w:p>
    <w:p>
      <w:pPr>
        <w:spacing w:after="120"/>
      </w:pPr>
      <w:r>
        <w:rPr>
          <w:b w:val="false"/>
          <w:bCs w:val="false"/>
          <w:i w:val="false"/>
          <w:iCs w:val="false"/>
        </w:rPr>
        <w:t xml:space="preserve">Municípios brasileiros majoritariamente contratam seus portais de transparência de fornecedores especializados de software de gestão pública. Portais da mesma família compartilham estrutura de URL, organização de páginas e formato de exportação. Isso permite escrever um conector por família, e não por município.</w:t>
      </w:r>
    </w:p>
    <w:p>
      <w:pPr>
        <w:pStyle w:val="ListParagraph"/>
        <w:numPr>
          <w:ilvl w:val="0"/>
          <w:numId w:val="2"/>
        </w:numPr>
        <w:spacing w:after="70"/>
      </w:pPr>
      <w:r>
        <w:t xml:space="preserve">Levantar, para uma amostra representativa de municípios, qual plataforma cada um utiliza, identificando-a por assinaturas técnicas da página.</w:t>
      </w:r>
    </w:p>
    <w:p>
      <w:pPr>
        <w:pStyle w:val="ListParagraph"/>
        <w:numPr>
          <w:ilvl w:val="0"/>
          <w:numId w:val="2"/>
        </w:numPr>
        <w:spacing w:after="70"/>
      </w:pPr>
      <w:r>
        <w:t xml:space="preserve">Ordenar as famílias por número de municípios atendidos.</w:t>
      </w:r>
    </w:p>
    <w:p>
      <w:pPr>
        <w:pStyle w:val="ListParagraph"/>
        <w:numPr>
          <w:ilvl w:val="0"/>
          <w:numId w:val="2"/>
        </w:numPr>
        <w:spacing w:after="70"/>
      </w:pPr>
      <w:r>
        <w:t xml:space="preserve">Construir um conector por família, começando pela de maior alcance.</w:t>
      </w:r>
    </w:p>
    <w:p>
      <w:pPr>
        <w:pStyle w:val="ListParagraph"/>
        <w:numPr>
          <w:ilvl w:val="0"/>
          <w:numId w:val="2"/>
        </w:numPr>
        <w:spacing w:after="70"/>
      </w:pPr>
      <w:r>
        <w:t xml:space="preserve">Validar o conector em amostra aleatória de municípios daquela família antes de liberar para o restante.</w:t>
      </w:r>
    </w:p>
    <w:tbl>
      <w:tblPr>
        <w:tblW w:type="dxa" w:w="9600"/>
        <w:tblBorders>
          <w:top w:val="single" w:color="BF8F00" w:sz="6"/>
          <w:left w:val="single" w:color="BF8F00" w:sz="18"/>
          <w:bottom w:val="single" w:color="BF8F00" w:sz="6"/>
          <w:right w:val="single" w:color="BF8F00" w:sz="6"/>
          <w:insideH w:val="none" w:color="FFFFFF" w:sz="0"/>
          <w:insideV w:val="none" w:color="FFFFFF" w:sz="0"/>
        </w:tblBorders>
      </w:tblPr>
      <w:tblGrid>
        <w:gridCol w:w="9600"/>
      </w:tblGrid>
      <w:tr>
        <w:trPr>
          <w:cantSplit/>
        </w:trPr>
        <w:tc>
          <w:tcPr>
            <w:tcW w:type="dxa" w:w="9600"/>
            <w:shd w:fill="FFF6E0" w:val="clear"/>
            <w:tcMar>
              <w:top w:type="dxa" w:w="130"/>
              <w:left w:type="dxa" w:w="170"/>
              <w:bottom w:type="dxa" w:w="130"/>
              <w:right w:type="dxa" w:w="150"/>
            </w:tcMar>
          </w:tcPr>
          <w:p>
            <w:pPr>
              <w:spacing w:after="90"/>
            </w:pPr>
            <w:r>
              <w:rPr>
                <w:b/>
                <w:bCs/>
                <w:color w:val="000000"/>
              </w:rPr>
              <w:t xml:space="preserve">Premissa a validar antes de investir na camada 3</w:t>
            </w:r>
          </w:p>
          <w:p>
            <w:pPr>
              <w:spacing w:after="70"/>
            </w:pPr>
            <w:r>
              <w:t xml:space="preserve">A hipótese de concentração em poucas famílias de plataforma é plausível e amplamente observada na prática, mas o projeto não deve assumi-la sem medição. O levantamento descrito acima é a primeira atividade da fase 4 justamente para confirmar, com dados, quantos municípios cada conector realmente cobriria — e recalibrar o plano caso a concentração seja menor que a esperada.</w:t>
            </w:r>
          </w:p>
        </w:tc>
      </w:tr>
    </w:tbl>
    <w:p>
      <w:pPr>
        <w:pStyle w:val="Heading2"/>
        <w:keepNext/>
        <w:keepLines/>
        <w:spacing w:after="120" w:before="280"/>
      </w:pPr>
      <w:bookmarkStart w:name="_Toc18" w:id="18"/>
      <w:r>
        <w:t xml:space="preserve">4.2 Cauda longa</w:t>
      </w:r>
      <w:bookmarkEnd w:id="18"/>
    </w:p>
    <w:tbl>
      <w:tblPr>
        <w:tblW w:type="dxa" w:w="9600"/>
        <w:tblBorders>
          <w:top w:val="single" w:color="BFBFBF" w:sz="4"/>
          <w:left w:val="single" w:color="BFBFBF" w:sz="4"/>
          <w:bottom w:val="single" w:color="BFBFBF" w:sz="4"/>
          <w:right w:val="single" w:color="BFBFBF" w:sz="4"/>
          <w:insideH w:val="single" w:color="D9D9D9" w:sz="2"/>
          <w:insideV w:val="single" w:color="D9D9D9" w:sz="2"/>
        </w:tblBorders>
      </w:tblPr>
      <w:tblGrid>
        <w:gridCol w:w="3600"/>
        <w:gridCol w:w="6000"/>
      </w:tblGrid>
      <w:tr>
        <w:trPr>
          <w:tblHeader/>
        </w:trPr>
        <w:tc>
          <w:tcPr>
            <w:tcW w:type="dxa" w:w="3600"/>
            <w:shd w:fill="1F3864" w:val="clear"/>
            <w:tcMar>
              <w:top w:type="dxa" w:w="80"/>
              <w:left w:type="dxa" w:w="110"/>
              <w:bottom w:type="dxa" w:w="80"/>
              <w:right w:type="dxa" w:w="110"/>
            </w:tcMar>
            <w:vAlign w:val="center"/>
          </w:tcPr>
          <w:p>
            <w:pPr>
              <w:spacing w:after="0"/>
            </w:pPr>
            <w:r>
              <w:rPr>
                <w:b/>
                <w:bCs/>
                <w:color w:val="FFFFFF"/>
                <w:sz w:val="19"/>
                <w:szCs w:val="19"/>
              </w:rPr>
              <w:t xml:space="preserve">Situação encontrada</w:t>
            </w:r>
          </w:p>
        </w:tc>
        <w:tc>
          <w:tcPr>
            <w:tcW w:type="dxa" w:w="6000"/>
            <w:shd w:fill="1F3864" w:val="clear"/>
            <w:tcMar>
              <w:top w:type="dxa" w:w="80"/>
              <w:left w:type="dxa" w:w="110"/>
              <w:bottom w:type="dxa" w:w="80"/>
              <w:right w:type="dxa" w:w="110"/>
            </w:tcMar>
            <w:vAlign w:val="center"/>
          </w:tcPr>
          <w:p>
            <w:pPr>
              <w:spacing w:after="0"/>
            </w:pPr>
            <w:r>
              <w:rPr>
                <w:b/>
                <w:bCs/>
                <w:color w:val="FFFFFF"/>
                <w:sz w:val="19"/>
                <w:szCs w:val="19"/>
              </w:rPr>
              <w:t xml:space="preserve">Tratamento</w:t>
            </w:r>
          </w:p>
        </w:tc>
      </w:tr>
      <w:tr>
        <w:trPr>
          <w:cantSplit/>
        </w:trPr>
        <w:tc>
          <w:tcPr>
            <w:tcW w:type="dxa" w:w="3600"/>
            <w:shd w:fill="FFFFFF" w:val="clear"/>
            <w:tcMar>
              <w:top w:type="dxa" w:w="70"/>
              <w:left w:type="dxa" w:w="110"/>
              <w:bottom w:type="dxa" w:w="70"/>
              <w:right w:type="dxa" w:w="110"/>
            </w:tcMar>
            <w:vAlign w:val="center"/>
          </w:tcPr>
          <w:p>
            <w:pPr>
              <w:spacing w:after="0"/>
            </w:pPr>
            <w:r>
              <w:rPr>
                <w:b w:val="false"/>
                <w:bCs w:val="false"/>
                <w:sz w:val="19"/>
                <w:szCs w:val="19"/>
              </w:rPr>
              <w:t xml:space="preserve">Portal com exportação estruturada</w:t>
            </w:r>
          </w:p>
        </w:tc>
        <w:tc>
          <w:tcPr>
            <w:tcW w:type="dxa" w:w="6000"/>
            <w:shd w:fill="FFFFFF" w:val="clear"/>
            <w:tcMar>
              <w:top w:type="dxa" w:w="70"/>
              <w:left w:type="dxa" w:w="110"/>
              <w:bottom w:type="dxa" w:w="70"/>
              <w:right w:type="dxa" w:w="110"/>
            </w:tcMar>
            <w:vAlign w:val="center"/>
          </w:tcPr>
          <w:p>
            <w:pPr>
              <w:spacing w:after="0"/>
            </w:pPr>
            <w:r>
              <w:rPr>
                <w:b w:val="false"/>
                <w:bCs w:val="false"/>
                <w:sz w:val="19"/>
                <w:szCs w:val="19"/>
              </w:rPr>
              <w:t xml:space="preserve">Conector declarativo padrão</w:t>
            </w:r>
          </w:p>
        </w:tc>
      </w:tr>
      <w:tr>
        <w:trPr>
          <w:cantSplit/>
        </w:trPr>
        <w:tc>
          <w:tcPr>
            <w:tcW w:type="dxa" w:w="3600"/>
            <w:shd w:fill="F2F2F2" w:val="clear"/>
            <w:tcMar>
              <w:top w:type="dxa" w:w="70"/>
              <w:left w:type="dxa" w:w="110"/>
              <w:bottom w:type="dxa" w:w="70"/>
              <w:right w:type="dxa" w:w="110"/>
            </w:tcMar>
            <w:vAlign w:val="center"/>
          </w:tcPr>
          <w:p>
            <w:pPr>
              <w:spacing w:after="0"/>
            </w:pPr>
            <w:r>
              <w:rPr>
                <w:b w:val="false"/>
                <w:bCs w:val="false"/>
                <w:sz w:val="19"/>
                <w:szCs w:val="19"/>
              </w:rPr>
              <w:t xml:space="preserve">Portal só com tabelas em HTML</w:t>
            </w:r>
          </w:p>
        </w:tc>
        <w:tc>
          <w:tcPr>
            <w:tcW w:type="dxa" w:w="6000"/>
            <w:shd w:fill="F2F2F2" w:val="clear"/>
            <w:tcMar>
              <w:top w:type="dxa" w:w="70"/>
              <w:left w:type="dxa" w:w="110"/>
              <w:bottom w:type="dxa" w:w="70"/>
              <w:right w:type="dxa" w:w="110"/>
            </w:tcMar>
            <w:vAlign w:val="center"/>
          </w:tcPr>
          <w:p>
            <w:pPr>
              <w:spacing w:after="0"/>
            </w:pPr>
            <w:r>
              <w:rPr>
                <w:b w:val="false"/>
                <w:bCs w:val="false"/>
                <w:sz w:val="19"/>
                <w:szCs w:val="19"/>
              </w:rPr>
              <w:t xml:space="preserve">Conector declarativo com seletores de tabela</w:t>
            </w:r>
          </w:p>
        </w:tc>
      </w:tr>
      <w:tr>
        <w:trPr>
          <w:cantSplit/>
        </w:trPr>
        <w:tc>
          <w:tcPr>
            <w:tcW w:type="dxa" w:w="3600"/>
            <w:shd w:fill="FFFFFF" w:val="clear"/>
            <w:tcMar>
              <w:top w:type="dxa" w:w="70"/>
              <w:left w:type="dxa" w:w="110"/>
              <w:bottom w:type="dxa" w:w="70"/>
              <w:right w:type="dxa" w:w="110"/>
            </w:tcMar>
            <w:vAlign w:val="center"/>
          </w:tcPr>
          <w:p>
            <w:pPr>
              <w:spacing w:after="0"/>
            </w:pPr>
            <w:r>
              <w:rPr>
                <w:b w:val="false"/>
                <w:bCs w:val="false"/>
                <w:sz w:val="19"/>
                <w:szCs w:val="19"/>
              </w:rPr>
              <w:t xml:space="preserve">Publicação apenas em PDF com texto</w:t>
            </w:r>
          </w:p>
        </w:tc>
        <w:tc>
          <w:tcPr>
            <w:tcW w:type="dxa" w:w="6000"/>
            <w:shd w:fill="FFFFFF" w:val="clear"/>
            <w:tcMar>
              <w:top w:type="dxa" w:w="70"/>
              <w:left w:type="dxa" w:w="110"/>
              <w:bottom w:type="dxa" w:w="70"/>
              <w:right w:type="dxa" w:w="110"/>
            </w:tcMar>
            <w:vAlign w:val="center"/>
          </w:tcPr>
          <w:p>
            <w:pPr>
              <w:spacing w:after="0"/>
            </w:pPr>
            <w:r>
              <w:rPr>
                <w:b w:val="false"/>
                <w:bCs w:val="false"/>
                <w:sz w:val="19"/>
                <w:szCs w:val="19"/>
              </w:rPr>
              <w:t xml:space="preserve">Extração estruturada de PDF</w:t>
            </w:r>
          </w:p>
        </w:tc>
      </w:tr>
      <w:tr>
        <w:trPr>
          <w:cantSplit/>
        </w:trPr>
        <w:tc>
          <w:tcPr>
            <w:tcW w:type="dxa" w:w="3600"/>
            <w:shd w:fill="F2F2F2" w:val="clear"/>
            <w:tcMar>
              <w:top w:type="dxa" w:w="70"/>
              <w:left w:type="dxa" w:w="110"/>
              <w:bottom w:type="dxa" w:w="70"/>
              <w:right w:type="dxa" w:w="110"/>
            </w:tcMar>
            <w:vAlign w:val="center"/>
          </w:tcPr>
          <w:p>
            <w:pPr>
              <w:spacing w:after="0"/>
            </w:pPr>
            <w:r>
              <w:rPr>
                <w:b w:val="false"/>
                <w:bCs w:val="false"/>
                <w:sz w:val="19"/>
                <w:szCs w:val="19"/>
              </w:rPr>
              <w:t xml:space="preserve">Publicação em PDF digitalizado</w:t>
            </w:r>
          </w:p>
        </w:tc>
        <w:tc>
          <w:tcPr>
            <w:tcW w:type="dxa" w:w="6000"/>
            <w:shd w:fill="F2F2F2" w:val="clear"/>
            <w:tcMar>
              <w:top w:type="dxa" w:w="70"/>
              <w:left w:type="dxa" w:w="110"/>
              <w:bottom w:type="dxa" w:w="70"/>
              <w:right w:type="dxa" w:w="110"/>
            </w:tcMar>
            <w:vAlign w:val="center"/>
          </w:tcPr>
          <w:p>
            <w:pPr>
              <w:spacing w:after="0"/>
            </w:pPr>
            <w:r>
              <w:rPr>
                <w:b w:val="false"/>
                <w:bCs w:val="false"/>
                <w:sz w:val="19"/>
                <w:szCs w:val="19"/>
              </w:rPr>
              <w:t xml:space="preserve">OCR seguido de extração, com marcação de confiança reduzida</w:t>
            </w:r>
          </w:p>
        </w:tc>
      </w:tr>
      <w:tr>
        <w:trPr>
          <w:cantSplit/>
        </w:trPr>
        <w:tc>
          <w:tcPr>
            <w:tcW w:type="dxa" w:w="3600"/>
            <w:shd w:fill="FFFFFF" w:val="clear"/>
            <w:tcMar>
              <w:top w:type="dxa" w:w="70"/>
              <w:left w:type="dxa" w:w="110"/>
              <w:bottom w:type="dxa" w:w="70"/>
              <w:right w:type="dxa" w:w="110"/>
            </w:tcMar>
            <w:vAlign w:val="center"/>
          </w:tcPr>
          <w:p>
            <w:pPr>
              <w:spacing w:after="0"/>
            </w:pPr>
            <w:r>
              <w:rPr>
                <w:b w:val="false"/>
                <w:bCs w:val="false"/>
                <w:sz w:val="19"/>
                <w:szCs w:val="19"/>
              </w:rPr>
              <w:t xml:space="preserve">Publicação em planilhas</w:t>
            </w:r>
          </w:p>
        </w:tc>
        <w:tc>
          <w:tcPr>
            <w:tcW w:type="dxa" w:w="6000"/>
            <w:shd w:fill="FFFFFF" w:val="clear"/>
            <w:tcMar>
              <w:top w:type="dxa" w:w="70"/>
              <w:left w:type="dxa" w:w="110"/>
              <w:bottom w:type="dxa" w:w="70"/>
              <w:right w:type="dxa" w:w="110"/>
            </w:tcMar>
            <w:vAlign w:val="center"/>
          </w:tcPr>
          <w:p>
            <w:pPr>
              <w:spacing w:after="0"/>
            </w:pPr>
            <w:r>
              <w:rPr>
                <w:b w:val="false"/>
                <w:bCs w:val="false"/>
                <w:sz w:val="19"/>
                <w:szCs w:val="19"/>
              </w:rPr>
              <w:t xml:space="preserve">Leitor de planilha com mapeamento declarativo</w:t>
            </w:r>
          </w:p>
        </w:tc>
      </w:tr>
      <w:tr>
        <w:trPr>
          <w:cantSplit/>
        </w:trPr>
        <w:tc>
          <w:tcPr>
            <w:tcW w:type="dxa" w:w="3600"/>
            <w:shd w:fill="F2F2F2" w:val="clear"/>
            <w:tcMar>
              <w:top w:type="dxa" w:w="70"/>
              <w:left w:type="dxa" w:w="110"/>
              <w:bottom w:type="dxa" w:w="70"/>
              <w:right w:type="dxa" w:w="110"/>
            </w:tcMar>
            <w:vAlign w:val="center"/>
          </w:tcPr>
          <w:p>
            <w:pPr>
              <w:spacing w:after="0"/>
            </w:pPr>
            <w:r>
              <w:rPr>
                <w:b w:val="false"/>
                <w:bCs w:val="false"/>
                <w:sz w:val="19"/>
                <w:szCs w:val="19"/>
              </w:rPr>
              <w:t xml:space="preserve">Nenhuma publicação localizável</w:t>
            </w:r>
          </w:p>
        </w:tc>
        <w:tc>
          <w:tcPr>
            <w:tcW w:type="dxa" w:w="6000"/>
            <w:shd w:fill="F2F2F2" w:val="clear"/>
            <w:tcMar>
              <w:top w:type="dxa" w:w="70"/>
              <w:left w:type="dxa" w:w="110"/>
              <w:bottom w:type="dxa" w:w="70"/>
              <w:right w:type="dxa" w:w="110"/>
            </w:tcMar>
            <w:vAlign w:val="center"/>
          </w:tcPr>
          <w:p>
            <w:pPr>
              <w:spacing w:after="0"/>
            </w:pPr>
            <w:r>
              <w:rPr>
                <w:b w:val="false"/>
                <w:bCs w:val="false"/>
                <w:sz w:val="19"/>
                <w:szCs w:val="19"/>
              </w:rPr>
              <w:t xml:space="preserve">Pedido formal de acesso à informação e registro de não conformidade</w:t>
            </w:r>
          </w:p>
        </w:tc>
      </w:tr>
    </w:tbl>
    <w:p>
      <w:pPr>
        <w:pStyle w:val="Heading2"/>
        <w:keepNext/>
        <w:keepLines/>
        <w:spacing w:after="120" w:before="280"/>
      </w:pPr>
      <w:bookmarkStart w:name="_Toc19" w:id="19"/>
      <w:r>
        <w:t xml:space="preserve">4.3 Especificação declarativa de fonte</w:t>
      </w:r>
      <w:bookmarkEnd w:id="19"/>
    </w:p>
    <w:p>
      <w:pPr>
        <w:spacing w:after="120"/>
      </w:pPr>
      <w:r>
        <w:rPr>
          <w:b w:val="false"/>
          <w:bCs w:val="false"/>
          <w:i w:val="false"/>
          <w:iCs w:val="false"/>
        </w:rPr>
        <w:t xml:space="preserve">Cadastrar uma fonte é escrever uma especificação, não código. O exemplo abaixo ilustra o formato para um portal municipal que publica contratos em tabela HTML paginada.</w:t>
      </w:r>
    </w:p>
    <w:tbl>
      <w:tblPr>
        <w:tblW w:type="dxa" w:w="9600"/>
        <w:tblBorders>
          <w:top w:val="single" w:color="D0D0D0" w:sz="4"/>
          <w:left w:val="single" w:color="2E75B6" w:sz="12"/>
          <w:bottom w:val="single" w:color="D0D0D0" w:sz="4"/>
          <w:right w:val="single" w:color="D0D0D0" w:sz="4"/>
          <w:insideH w:val="none" w:color="FFFFFF" w:sz="0"/>
          <w:insideV w:val="none" w:color="FFFFFF" w:sz="0"/>
        </w:tblBorders>
      </w:tblPr>
      <w:tblGrid>
        <w:gridCol w:w="9600"/>
      </w:tblGrid>
      <w:tr>
        <w:tc>
          <w:tcPr>
            <w:tcW w:type="dxa" w:w="9600"/>
            <w:tcBorders>
              <w:top w:val="none" w:color="FFFFFF" w:sz="0"/>
              <w:left w:val="none" w:color="FFFFFF" w:sz="0"/>
              <w:bottom w:val="none" w:color="FFFFFF" w:sz="0"/>
              <w:right w:val="none" w:color="FFFFFF" w:sz="0"/>
            </w:tcBorders>
            <w:shd w:fill="F5F5F5" w:val="clear"/>
            <w:tcMar>
              <w:top w:type="dxa" w:w="20"/>
              <w:left w:type="dxa" w:w="120"/>
              <w:bottom w:type="dxa" w:w="20"/>
              <w:right w:type="dxa" w:w="100"/>
            </w:tcMar>
          </w:tcPr>
          <w:p>
            <w:pPr>
              <w:spacing w:after="0"/>
            </w:pPr>
            <w:r>
              <w:rPr>
                <w:rFonts w:ascii="Consolas" w:cs="Consolas" w:eastAsia="Consolas" w:hAnsi="Consolas"/>
                <w:sz w:val="18"/>
                <w:szCs w:val="18"/>
              </w:rPr>
              <w:t xml:space="preserve">fonte: sp_exemplo_municipio_contratos</w:t>
            </w:r>
          </w:p>
        </w:tc>
      </w:tr>
      <w:tr>
        <w:tc>
          <w:tcPr>
            <w:tcW w:type="dxa" w:w="9600"/>
            <w:tcBorders>
              <w:top w:val="none" w:color="FFFFFF" w:sz="0"/>
              <w:left w:val="none" w:color="FFFFFF" w:sz="0"/>
              <w:bottom w:val="none" w:color="FFFFFF" w:sz="0"/>
              <w:right w:val="none" w:color="FFFFFF" w:sz="0"/>
            </w:tcBorders>
            <w:shd w:fill="F5F5F5" w:val="clear"/>
            <w:tcMar>
              <w:top w:type="dxa" w:w="20"/>
              <w:left w:type="dxa" w:w="120"/>
              <w:bottom w:type="dxa" w:w="20"/>
              <w:right w:type="dxa" w:w="100"/>
            </w:tcMar>
          </w:tcPr>
          <w:p>
            <w:pPr>
              <w:spacing w:after="0"/>
            </w:pPr>
            <w:r>
              <w:rPr>
                <w:rFonts w:ascii="Consolas" w:cs="Consolas" w:eastAsia="Consolas" w:hAnsi="Consolas"/>
                <w:sz w:val="18"/>
                <w:szCs w:val="18"/>
              </w:rPr>
              <w:t xml:space="preserve">ente:</w:t>
            </w:r>
          </w:p>
        </w:tc>
      </w:tr>
      <w:tr>
        <w:tc>
          <w:tcPr>
            <w:tcW w:type="dxa" w:w="9600"/>
            <w:tcBorders>
              <w:top w:val="none" w:color="FFFFFF" w:sz="0"/>
              <w:left w:val="none" w:color="FFFFFF" w:sz="0"/>
              <w:bottom w:val="none" w:color="FFFFFF" w:sz="0"/>
              <w:right w:val="none" w:color="FFFFFF" w:sz="0"/>
            </w:tcBorders>
            <w:shd w:fill="F5F5F5" w:val="clear"/>
            <w:tcMar>
              <w:top w:type="dxa" w:w="20"/>
              <w:left w:type="dxa" w:w="120"/>
              <w:bottom w:type="dxa" w:w="20"/>
              <w:right w:type="dxa" w:w="100"/>
            </w:tcMar>
          </w:tcPr>
          <w:p>
            <w:pPr>
              <w:spacing w:after="0"/>
            </w:pPr>
            <w:r>
              <w:rPr>
                <w:rFonts w:ascii="Consolas" w:cs="Consolas" w:eastAsia="Consolas" w:hAnsi="Consolas"/>
                <w:sz w:val="18"/>
                <w:szCs w:val="18"/>
              </w:rPr>
              <w:t xml:space="preserve">  codigo_ibge: "3500000"</w:t>
            </w:r>
          </w:p>
        </w:tc>
      </w:tr>
      <w:tr>
        <w:tc>
          <w:tcPr>
            <w:tcW w:type="dxa" w:w="9600"/>
            <w:tcBorders>
              <w:top w:val="none" w:color="FFFFFF" w:sz="0"/>
              <w:left w:val="none" w:color="FFFFFF" w:sz="0"/>
              <w:bottom w:val="none" w:color="FFFFFF" w:sz="0"/>
              <w:right w:val="none" w:color="FFFFFF" w:sz="0"/>
            </w:tcBorders>
            <w:shd w:fill="F5F5F5" w:val="clear"/>
            <w:tcMar>
              <w:top w:type="dxa" w:w="20"/>
              <w:left w:type="dxa" w:w="120"/>
              <w:bottom w:type="dxa" w:w="20"/>
              <w:right w:type="dxa" w:w="100"/>
            </w:tcMar>
          </w:tcPr>
          <w:p>
            <w:pPr>
              <w:spacing w:after="0"/>
            </w:pPr>
            <w:r>
              <w:rPr>
                <w:rFonts w:ascii="Consolas" w:cs="Consolas" w:eastAsia="Consolas" w:hAnsi="Consolas"/>
                <w:sz w:val="18"/>
                <w:szCs w:val="18"/>
              </w:rPr>
              <w:t xml:space="preserve">  esfera: municipal</w:t>
            </w:r>
          </w:p>
        </w:tc>
      </w:tr>
      <w:tr>
        <w:tc>
          <w:tcPr>
            <w:tcW w:type="dxa" w:w="9600"/>
            <w:tcBorders>
              <w:top w:val="none" w:color="FFFFFF" w:sz="0"/>
              <w:left w:val="none" w:color="FFFFFF" w:sz="0"/>
              <w:bottom w:val="none" w:color="FFFFFF" w:sz="0"/>
              <w:right w:val="none" w:color="FFFFFF" w:sz="0"/>
            </w:tcBorders>
            <w:shd w:fill="F5F5F5" w:val="clear"/>
            <w:tcMar>
              <w:top w:type="dxa" w:w="20"/>
              <w:left w:type="dxa" w:w="120"/>
              <w:bottom w:type="dxa" w:w="20"/>
              <w:right w:type="dxa" w:w="100"/>
            </w:tcMar>
          </w:tcPr>
          <w:p>
            <w:pPr>
              <w:spacing w:after="0"/>
            </w:pPr>
            <w:r>
              <w:rPr>
                <w:rFonts w:ascii="Consolas" w:cs="Consolas" w:eastAsia="Consolas" w:hAnsi="Consolas"/>
                <w:sz w:val="18"/>
                <w:szCs w:val="18"/>
              </w:rPr>
              <w:t xml:space="preserve">conector: declarativo_html</w:t>
            </w:r>
          </w:p>
        </w:tc>
      </w:tr>
      <w:tr>
        <w:tc>
          <w:tcPr>
            <w:tcW w:type="dxa" w:w="9600"/>
            <w:tcBorders>
              <w:top w:val="none" w:color="FFFFFF" w:sz="0"/>
              <w:left w:val="none" w:color="FFFFFF" w:sz="0"/>
              <w:bottom w:val="none" w:color="FFFFFF" w:sz="0"/>
              <w:right w:val="none" w:color="FFFFFF" w:sz="0"/>
            </w:tcBorders>
            <w:shd w:fill="F5F5F5" w:val="clear"/>
            <w:tcMar>
              <w:top w:type="dxa" w:w="20"/>
              <w:left w:type="dxa" w:w="120"/>
              <w:bottom w:type="dxa" w:w="20"/>
              <w:right w:type="dxa" w:w="100"/>
            </w:tcMar>
          </w:tcPr>
          <w:p>
            <w:pPr>
              <w:spacing w:after="0"/>
            </w:pPr>
            <w:r>
              <w:rPr>
                <w:rFonts w:ascii="Consolas" w:cs="Consolas" w:eastAsia="Consolas" w:hAnsi="Consolas"/>
                <w:sz w:val="18"/>
                <w:szCs w:val="18"/>
              </w:rPr>
              <w:t xml:space="preserve">objeto_canonico: Contrato</w:t>
            </w:r>
          </w:p>
        </w:tc>
      </w:tr>
      <w:tr>
        <w:tc>
          <w:tcPr>
            <w:tcW w:type="dxa" w:w="9600"/>
            <w:tcBorders>
              <w:top w:val="none" w:color="FFFFFF" w:sz="0"/>
              <w:left w:val="none" w:color="FFFFFF" w:sz="0"/>
              <w:bottom w:val="none" w:color="FFFFFF" w:sz="0"/>
              <w:right w:val="none" w:color="FFFFFF" w:sz="0"/>
            </w:tcBorders>
            <w:shd w:fill="F5F5F5" w:val="clear"/>
            <w:tcMar>
              <w:top w:type="dxa" w:w="20"/>
              <w:left w:type="dxa" w:w="120"/>
              <w:bottom w:type="dxa" w:w="20"/>
              <w:right w:type="dxa" w:w="100"/>
            </w:tcMar>
          </w:tcPr>
          <w:p>
            <w:pPr>
              <w:spacing w:after="0"/>
            </w:pPr>
            <w:r>
              <w:rPr>
                <w:rFonts w:ascii="Consolas" w:cs="Consolas" w:eastAsia="Consolas" w:hAnsi="Consolas"/>
                <w:sz w:val="18"/>
                <w:szCs w:val="18"/>
              </w:rPr>
              <w:t xml:space="preserve">periodicidade: diaria</w:t>
            </w:r>
          </w:p>
        </w:tc>
      </w:tr>
      <w:tr>
        <w:tc>
          <w:tcPr>
            <w:tcW w:type="dxa" w:w="9600"/>
            <w:tcBorders>
              <w:top w:val="none" w:color="FFFFFF" w:sz="0"/>
              <w:left w:val="none" w:color="FFFFFF" w:sz="0"/>
              <w:bottom w:val="none" w:color="FFFFFF" w:sz="0"/>
              <w:right w:val="none" w:color="FFFFFF" w:sz="0"/>
            </w:tcBorders>
            <w:shd w:fill="F5F5F5" w:val="clear"/>
            <w:tcMar>
              <w:top w:type="dxa" w:w="20"/>
              <w:left w:type="dxa" w:w="120"/>
              <w:bottom w:type="dxa" w:w="20"/>
              <w:right w:type="dxa" w:w="100"/>
            </w:tcMar>
          </w:tcPr>
          <w:p>
            <w:pPr>
              <w:spacing w:after="0"/>
            </w:pPr>
            <w:r>
              <w:rPr>
                <w:rFonts w:ascii="Consolas" w:cs="Consolas" w:eastAsia="Consolas" w:hAnsi="Consolas"/>
                <w:sz w:val="18"/>
                <w:szCs w:val="18"/>
              </w:rPr>
              <w:t xml:space="preserve"> </w:t>
            </w:r>
          </w:p>
        </w:tc>
      </w:tr>
      <w:tr>
        <w:tc>
          <w:tcPr>
            <w:tcW w:type="dxa" w:w="9600"/>
            <w:tcBorders>
              <w:top w:val="none" w:color="FFFFFF" w:sz="0"/>
              <w:left w:val="none" w:color="FFFFFF" w:sz="0"/>
              <w:bottom w:val="none" w:color="FFFFFF" w:sz="0"/>
              <w:right w:val="none" w:color="FFFFFF" w:sz="0"/>
            </w:tcBorders>
            <w:shd w:fill="F5F5F5" w:val="clear"/>
            <w:tcMar>
              <w:top w:type="dxa" w:w="20"/>
              <w:left w:type="dxa" w:w="120"/>
              <w:bottom w:type="dxa" w:w="20"/>
              <w:right w:type="dxa" w:w="100"/>
            </w:tcMar>
          </w:tcPr>
          <w:p>
            <w:pPr>
              <w:spacing w:after="0"/>
            </w:pPr>
            <w:r>
              <w:rPr>
                <w:rFonts w:ascii="Consolas" w:cs="Consolas" w:eastAsia="Consolas" w:hAnsi="Consolas"/>
                <w:sz w:val="18"/>
                <w:szCs w:val="18"/>
              </w:rPr>
              <w:t xml:space="preserve">acesso:</w:t>
            </w:r>
          </w:p>
        </w:tc>
      </w:tr>
      <w:tr>
        <w:tc>
          <w:tcPr>
            <w:tcW w:type="dxa" w:w="9600"/>
            <w:tcBorders>
              <w:top w:val="none" w:color="FFFFFF" w:sz="0"/>
              <w:left w:val="none" w:color="FFFFFF" w:sz="0"/>
              <w:bottom w:val="none" w:color="FFFFFF" w:sz="0"/>
              <w:right w:val="none" w:color="FFFFFF" w:sz="0"/>
            </w:tcBorders>
            <w:shd w:fill="F5F5F5" w:val="clear"/>
            <w:tcMar>
              <w:top w:type="dxa" w:w="20"/>
              <w:left w:type="dxa" w:w="120"/>
              <w:bottom w:type="dxa" w:w="20"/>
              <w:right w:type="dxa" w:w="100"/>
            </w:tcMar>
          </w:tcPr>
          <w:p>
            <w:pPr>
              <w:spacing w:after="0"/>
            </w:pPr>
            <w:r>
              <w:rPr>
                <w:rFonts w:ascii="Consolas" w:cs="Consolas" w:eastAsia="Consolas" w:hAnsi="Consolas"/>
                <w:sz w:val="18"/>
                <w:szCs w:val="18"/>
              </w:rPr>
              <w:t xml:space="preserve">  url_base: "https://transparencia.exemplo.sp.gov.br/contratos"</w:t>
            </w:r>
          </w:p>
        </w:tc>
      </w:tr>
      <w:tr>
        <w:tc>
          <w:tcPr>
            <w:tcW w:type="dxa" w:w="9600"/>
            <w:tcBorders>
              <w:top w:val="none" w:color="FFFFFF" w:sz="0"/>
              <w:left w:val="none" w:color="FFFFFF" w:sz="0"/>
              <w:bottom w:val="none" w:color="FFFFFF" w:sz="0"/>
              <w:right w:val="none" w:color="FFFFFF" w:sz="0"/>
            </w:tcBorders>
            <w:shd w:fill="F5F5F5" w:val="clear"/>
            <w:tcMar>
              <w:top w:type="dxa" w:w="20"/>
              <w:left w:type="dxa" w:w="120"/>
              <w:bottom w:type="dxa" w:w="20"/>
              <w:right w:type="dxa" w:w="100"/>
            </w:tcMar>
          </w:tcPr>
          <w:p>
            <w:pPr>
              <w:spacing w:after="0"/>
            </w:pPr>
            <w:r>
              <w:rPr>
                <w:rFonts w:ascii="Consolas" w:cs="Consolas" w:eastAsia="Consolas" w:hAnsi="Consolas"/>
                <w:sz w:val="18"/>
                <w:szCs w:val="18"/>
              </w:rPr>
              <w:t xml:space="preserve">  paginacao:</w:t>
            </w:r>
          </w:p>
        </w:tc>
      </w:tr>
      <w:tr>
        <w:tc>
          <w:tcPr>
            <w:tcW w:type="dxa" w:w="9600"/>
            <w:tcBorders>
              <w:top w:val="none" w:color="FFFFFF" w:sz="0"/>
              <w:left w:val="none" w:color="FFFFFF" w:sz="0"/>
              <w:bottom w:val="none" w:color="FFFFFF" w:sz="0"/>
              <w:right w:val="none" w:color="FFFFFF" w:sz="0"/>
            </w:tcBorders>
            <w:shd w:fill="F5F5F5" w:val="clear"/>
            <w:tcMar>
              <w:top w:type="dxa" w:w="20"/>
              <w:left w:type="dxa" w:w="120"/>
              <w:bottom w:type="dxa" w:w="20"/>
              <w:right w:type="dxa" w:w="100"/>
            </w:tcMar>
          </w:tcPr>
          <w:p>
            <w:pPr>
              <w:spacing w:after="0"/>
            </w:pPr>
            <w:r>
              <w:rPr>
                <w:rFonts w:ascii="Consolas" w:cs="Consolas" w:eastAsia="Consolas" w:hAnsi="Consolas"/>
                <w:sz w:val="18"/>
                <w:szCs w:val="18"/>
              </w:rPr>
              <w:t xml:space="preserve">    tipo: parametro_query</w:t>
            </w:r>
          </w:p>
        </w:tc>
      </w:tr>
      <w:tr>
        <w:tc>
          <w:tcPr>
            <w:tcW w:type="dxa" w:w="9600"/>
            <w:tcBorders>
              <w:top w:val="none" w:color="FFFFFF" w:sz="0"/>
              <w:left w:val="none" w:color="FFFFFF" w:sz="0"/>
              <w:bottom w:val="none" w:color="FFFFFF" w:sz="0"/>
              <w:right w:val="none" w:color="FFFFFF" w:sz="0"/>
            </w:tcBorders>
            <w:shd w:fill="F5F5F5" w:val="clear"/>
            <w:tcMar>
              <w:top w:type="dxa" w:w="20"/>
              <w:left w:type="dxa" w:w="120"/>
              <w:bottom w:type="dxa" w:w="20"/>
              <w:right w:type="dxa" w:w="100"/>
            </w:tcMar>
          </w:tcPr>
          <w:p>
            <w:pPr>
              <w:spacing w:after="0"/>
            </w:pPr>
            <w:r>
              <w:rPr>
                <w:rFonts w:ascii="Consolas" w:cs="Consolas" w:eastAsia="Consolas" w:hAnsi="Consolas"/>
                <w:sz w:val="18"/>
                <w:szCs w:val="18"/>
              </w:rPr>
              <w:t xml:space="preserve">    parametro: "pagina"</w:t>
            </w:r>
          </w:p>
        </w:tc>
      </w:tr>
      <w:tr>
        <w:tc>
          <w:tcPr>
            <w:tcW w:type="dxa" w:w="9600"/>
            <w:tcBorders>
              <w:top w:val="none" w:color="FFFFFF" w:sz="0"/>
              <w:left w:val="none" w:color="FFFFFF" w:sz="0"/>
              <w:bottom w:val="none" w:color="FFFFFF" w:sz="0"/>
              <w:right w:val="none" w:color="FFFFFF" w:sz="0"/>
            </w:tcBorders>
            <w:shd w:fill="F5F5F5" w:val="clear"/>
            <w:tcMar>
              <w:top w:type="dxa" w:w="20"/>
              <w:left w:type="dxa" w:w="120"/>
              <w:bottom w:type="dxa" w:w="20"/>
              <w:right w:type="dxa" w:w="100"/>
            </w:tcMar>
          </w:tcPr>
          <w:p>
            <w:pPr>
              <w:spacing w:after="0"/>
            </w:pPr>
            <w:r>
              <w:rPr>
                <w:rFonts w:ascii="Consolas" w:cs="Consolas" w:eastAsia="Consolas" w:hAnsi="Consolas"/>
                <w:sz w:val="18"/>
                <w:szCs w:val="18"/>
              </w:rPr>
              <w:t xml:space="preserve">    inicio: 1</w:t>
            </w:r>
          </w:p>
        </w:tc>
      </w:tr>
      <w:tr>
        <w:tc>
          <w:tcPr>
            <w:tcW w:type="dxa" w:w="9600"/>
            <w:tcBorders>
              <w:top w:val="none" w:color="FFFFFF" w:sz="0"/>
              <w:left w:val="none" w:color="FFFFFF" w:sz="0"/>
              <w:bottom w:val="none" w:color="FFFFFF" w:sz="0"/>
              <w:right w:val="none" w:color="FFFFFF" w:sz="0"/>
            </w:tcBorders>
            <w:shd w:fill="F5F5F5" w:val="clear"/>
            <w:tcMar>
              <w:top w:type="dxa" w:w="20"/>
              <w:left w:type="dxa" w:w="120"/>
              <w:bottom w:type="dxa" w:w="20"/>
              <w:right w:type="dxa" w:w="100"/>
            </w:tcMar>
          </w:tcPr>
          <w:p>
            <w:pPr>
              <w:spacing w:after="0"/>
            </w:pPr>
            <w:r>
              <w:rPr>
                <w:rFonts w:ascii="Consolas" w:cs="Consolas" w:eastAsia="Consolas" w:hAnsi="Consolas"/>
                <w:sz w:val="18"/>
                <w:szCs w:val="18"/>
              </w:rPr>
              <w:t xml:space="preserve">  limite_taxa:</w:t>
            </w:r>
          </w:p>
        </w:tc>
      </w:tr>
      <w:tr>
        <w:tc>
          <w:tcPr>
            <w:tcW w:type="dxa" w:w="9600"/>
            <w:tcBorders>
              <w:top w:val="none" w:color="FFFFFF" w:sz="0"/>
              <w:left w:val="none" w:color="FFFFFF" w:sz="0"/>
              <w:bottom w:val="none" w:color="FFFFFF" w:sz="0"/>
              <w:right w:val="none" w:color="FFFFFF" w:sz="0"/>
            </w:tcBorders>
            <w:shd w:fill="F5F5F5" w:val="clear"/>
            <w:tcMar>
              <w:top w:type="dxa" w:w="20"/>
              <w:left w:type="dxa" w:w="120"/>
              <w:bottom w:type="dxa" w:w="20"/>
              <w:right w:type="dxa" w:w="100"/>
            </w:tcMar>
          </w:tcPr>
          <w:p>
            <w:pPr>
              <w:spacing w:after="0"/>
            </w:pPr>
            <w:r>
              <w:rPr>
                <w:rFonts w:ascii="Consolas" w:cs="Consolas" w:eastAsia="Consolas" w:hAnsi="Consolas"/>
                <w:sz w:val="18"/>
                <w:szCs w:val="18"/>
              </w:rPr>
              <w:t xml:space="preserve">    requisicoes_por_minuto: 20      # conservador por padrao</w:t>
            </w:r>
          </w:p>
        </w:tc>
      </w:tr>
      <w:tr>
        <w:tc>
          <w:tcPr>
            <w:tcW w:type="dxa" w:w="9600"/>
            <w:tcBorders>
              <w:top w:val="none" w:color="FFFFFF" w:sz="0"/>
              <w:left w:val="none" w:color="FFFFFF" w:sz="0"/>
              <w:bottom w:val="none" w:color="FFFFFF" w:sz="0"/>
              <w:right w:val="none" w:color="FFFFFF" w:sz="0"/>
            </w:tcBorders>
            <w:shd w:fill="F5F5F5" w:val="clear"/>
            <w:tcMar>
              <w:top w:type="dxa" w:w="20"/>
              <w:left w:type="dxa" w:w="120"/>
              <w:bottom w:type="dxa" w:w="20"/>
              <w:right w:type="dxa" w:w="100"/>
            </w:tcMar>
          </w:tcPr>
          <w:p>
            <w:pPr>
              <w:spacing w:after="0"/>
            </w:pPr>
            <w:r>
              <w:rPr>
                <w:rFonts w:ascii="Consolas" w:cs="Consolas" w:eastAsia="Consolas" w:hAnsi="Consolas"/>
                <w:sz w:val="18"/>
                <w:szCs w:val="18"/>
              </w:rPr>
              <w:t xml:space="preserve"> </w:t>
            </w:r>
          </w:p>
        </w:tc>
      </w:tr>
      <w:tr>
        <w:tc>
          <w:tcPr>
            <w:tcW w:type="dxa" w:w="9600"/>
            <w:tcBorders>
              <w:top w:val="none" w:color="FFFFFF" w:sz="0"/>
              <w:left w:val="none" w:color="FFFFFF" w:sz="0"/>
              <w:bottom w:val="none" w:color="FFFFFF" w:sz="0"/>
              <w:right w:val="none" w:color="FFFFFF" w:sz="0"/>
            </w:tcBorders>
            <w:shd w:fill="F5F5F5" w:val="clear"/>
            <w:tcMar>
              <w:top w:type="dxa" w:w="20"/>
              <w:left w:type="dxa" w:w="120"/>
              <w:bottom w:type="dxa" w:w="20"/>
              <w:right w:type="dxa" w:w="100"/>
            </w:tcMar>
          </w:tcPr>
          <w:p>
            <w:pPr>
              <w:spacing w:after="0"/>
            </w:pPr>
            <w:r>
              <w:rPr>
                <w:rFonts w:ascii="Consolas" w:cs="Consolas" w:eastAsia="Consolas" w:hAnsi="Consolas"/>
                <w:sz w:val="18"/>
                <w:szCs w:val="18"/>
              </w:rPr>
              <w:t xml:space="preserve">extracao:</w:t>
            </w:r>
          </w:p>
        </w:tc>
      </w:tr>
      <w:tr>
        <w:tc>
          <w:tcPr>
            <w:tcW w:type="dxa" w:w="9600"/>
            <w:tcBorders>
              <w:top w:val="none" w:color="FFFFFF" w:sz="0"/>
              <w:left w:val="none" w:color="FFFFFF" w:sz="0"/>
              <w:bottom w:val="none" w:color="FFFFFF" w:sz="0"/>
              <w:right w:val="none" w:color="FFFFFF" w:sz="0"/>
            </w:tcBorders>
            <w:shd w:fill="F5F5F5" w:val="clear"/>
            <w:tcMar>
              <w:top w:type="dxa" w:w="20"/>
              <w:left w:type="dxa" w:w="120"/>
              <w:bottom w:type="dxa" w:w="20"/>
              <w:right w:type="dxa" w:w="100"/>
            </w:tcMar>
          </w:tcPr>
          <w:p>
            <w:pPr>
              <w:spacing w:after="0"/>
            </w:pPr>
            <w:r>
              <w:rPr>
                <w:rFonts w:ascii="Consolas" w:cs="Consolas" w:eastAsia="Consolas" w:hAnsi="Consolas"/>
                <w:sz w:val="18"/>
                <w:szCs w:val="18"/>
              </w:rPr>
              <w:t xml:space="preserve">  seletor_linhas: "table#contratos tbody tr"</w:t>
            </w:r>
          </w:p>
        </w:tc>
      </w:tr>
      <w:tr>
        <w:tc>
          <w:tcPr>
            <w:tcW w:type="dxa" w:w="9600"/>
            <w:tcBorders>
              <w:top w:val="none" w:color="FFFFFF" w:sz="0"/>
              <w:left w:val="none" w:color="FFFFFF" w:sz="0"/>
              <w:bottom w:val="none" w:color="FFFFFF" w:sz="0"/>
              <w:right w:val="none" w:color="FFFFFF" w:sz="0"/>
            </w:tcBorders>
            <w:shd w:fill="F5F5F5" w:val="clear"/>
            <w:tcMar>
              <w:top w:type="dxa" w:w="20"/>
              <w:left w:type="dxa" w:w="120"/>
              <w:bottom w:type="dxa" w:w="20"/>
              <w:right w:type="dxa" w:w="100"/>
            </w:tcMar>
          </w:tcPr>
          <w:p>
            <w:pPr>
              <w:spacing w:after="0"/>
            </w:pPr>
            <w:r>
              <w:rPr>
                <w:rFonts w:ascii="Consolas" w:cs="Consolas" w:eastAsia="Consolas" w:hAnsi="Consolas"/>
                <w:sz w:val="18"/>
                <w:szCs w:val="18"/>
              </w:rPr>
              <w:t xml:space="preserve">  campos:</w:t>
            </w:r>
          </w:p>
        </w:tc>
      </w:tr>
      <w:tr>
        <w:tc>
          <w:tcPr>
            <w:tcW w:type="dxa" w:w="9600"/>
            <w:tcBorders>
              <w:top w:val="none" w:color="FFFFFF" w:sz="0"/>
              <w:left w:val="none" w:color="FFFFFF" w:sz="0"/>
              <w:bottom w:val="none" w:color="FFFFFF" w:sz="0"/>
              <w:right w:val="none" w:color="FFFFFF" w:sz="0"/>
            </w:tcBorders>
            <w:shd w:fill="F5F5F5" w:val="clear"/>
            <w:tcMar>
              <w:top w:type="dxa" w:w="20"/>
              <w:left w:type="dxa" w:w="120"/>
              <w:bottom w:type="dxa" w:w="20"/>
              <w:right w:type="dxa" w:w="100"/>
            </w:tcMar>
          </w:tcPr>
          <w:p>
            <w:pPr>
              <w:spacing w:after="0"/>
            </w:pPr>
            <w:r>
              <w:rPr>
                <w:rFonts w:ascii="Consolas" w:cs="Consolas" w:eastAsia="Consolas" w:hAnsi="Consolas"/>
                <w:sz w:val="18"/>
                <w:szCs w:val="18"/>
              </w:rPr>
              <w:t xml:space="preserve">    numero:            { seletor: "td:nth-child(1)" }</w:t>
            </w:r>
          </w:p>
        </w:tc>
      </w:tr>
      <w:tr>
        <w:tc>
          <w:tcPr>
            <w:tcW w:type="dxa" w:w="9600"/>
            <w:tcBorders>
              <w:top w:val="none" w:color="FFFFFF" w:sz="0"/>
              <w:left w:val="none" w:color="FFFFFF" w:sz="0"/>
              <w:bottom w:val="none" w:color="FFFFFF" w:sz="0"/>
              <w:right w:val="none" w:color="FFFFFF" w:sz="0"/>
            </w:tcBorders>
            <w:shd w:fill="F5F5F5" w:val="clear"/>
            <w:tcMar>
              <w:top w:type="dxa" w:w="20"/>
              <w:left w:type="dxa" w:w="120"/>
              <w:bottom w:type="dxa" w:w="20"/>
              <w:right w:type="dxa" w:w="100"/>
            </w:tcMar>
          </w:tcPr>
          <w:p>
            <w:pPr>
              <w:spacing w:after="0"/>
            </w:pPr>
            <w:r>
              <w:rPr>
                <w:rFonts w:ascii="Consolas" w:cs="Consolas" w:eastAsia="Consolas" w:hAnsi="Consolas"/>
                <w:sz w:val="18"/>
                <w:szCs w:val="18"/>
              </w:rPr>
              <w:t xml:space="preserve">    fornecedor_cnpj:   { seletor: "td:nth-child(2)", transformar: [somente_digitos] }</w:t>
            </w:r>
          </w:p>
        </w:tc>
      </w:tr>
      <w:tr>
        <w:tc>
          <w:tcPr>
            <w:tcW w:type="dxa" w:w="9600"/>
            <w:tcBorders>
              <w:top w:val="none" w:color="FFFFFF" w:sz="0"/>
              <w:left w:val="none" w:color="FFFFFF" w:sz="0"/>
              <w:bottom w:val="none" w:color="FFFFFF" w:sz="0"/>
              <w:right w:val="none" w:color="FFFFFF" w:sz="0"/>
            </w:tcBorders>
            <w:shd w:fill="F5F5F5" w:val="clear"/>
            <w:tcMar>
              <w:top w:type="dxa" w:w="20"/>
              <w:left w:type="dxa" w:w="120"/>
              <w:bottom w:type="dxa" w:w="20"/>
              <w:right w:type="dxa" w:w="100"/>
            </w:tcMar>
          </w:tcPr>
          <w:p>
            <w:pPr>
              <w:spacing w:after="0"/>
            </w:pPr>
            <w:r>
              <w:rPr>
                <w:rFonts w:ascii="Consolas" w:cs="Consolas" w:eastAsia="Consolas" w:hAnsi="Consolas"/>
                <w:sz w:val="18"/>
                <w:szCs w:val="18"/>
              </w:rPr>
              <w:t xml:space="preserve">    objeto:            { seletor: "td:nth-child(3)" }</w:t>
            </w:r>
          </w:p>
        </w:tc>
      </w:tr>
      <w:tr>
        <w:tc>
          <w:tcPr>
            <w:tcW w:type="dxa" w:w="9600"/>
            <w:tcBorders>
              <w:top w:val="none" w:color="FFFFFF" w:sz="0"/>
              <w:left w:val="none" w:color="FFFFFF" w:sz="0"/>
              <w:bottom w:val="none" w:color="FFFFFF" w:sz="0"/>
              <w:right w:val="none" w:color="FFFFFF" w:sz="0"/>
            </w:tcBorders>
            <w:shd w:fill="F5F5F5" w:val="clear"/>
            <w:tcMar>
              <w:top w:type="dxa" w:w="20"/>
              <w:left w:type="dxa" w:w="120"/>
              <w:bottom w:type="dxa" w:w="20"/>
              <w:right w:type="dxa" w:w="100"/>
            </w:tcMar>
          </w:tcPr>
          <w:p>
            <w:pPr>
              <w:spacing w:after="0"/>
            </w:pPr>
            <w:r>
              <w:rPr>
                <w:rFonts w:ascii="Consolas" w:cs="Consolas" w:eastAsia="Consolas" w:hAnsi="Consolas"/>
                <w:sz w:val="18"/>
                <w:szCs w:val="18"/>
              </w:rPr>
              <w:t xml:space="preserve">    valor_inicial:     { seletor: "td:nth-child(4)", transformar: [moeda_br] }</w:t>
            </w:r>
          </w:p>
        </w:tc>
      </w:tr>
      <w:tr>
        <w:tc>
          <w:tcPr>
            <w:tcW w:type="dxa" w:w="9600"/>
            <w:tcBorders>
              <w:top w:val="none" w:color="FFFFFF" w:sz="0"/>
              <w:left w:val="none" w:color="FFFFFF" w:sz="0"/>
              <w:bottom w:val="none" w:color="FFFFFF" w:sz="0"/>
              <w:right w:val="none" w:color="FFFFFF" w:sz="0"/>
            </w:tcBorders>
            <w:shd w:fill="F5F5F5" w:val="clear"/>
            <w:tcMar>
              <w:top w:type="dxa" w:w="20"/>
              <w:left w:type="dxa" w:w="120"/>
              <w:bottom w:type="dxa" w:w="20"/>
              <w:right w:type="dxa" w:w="100"/>
            </w:tcMar>
          </w:tcPr>
          <w:p>
            <w:pPr>
              <w:spacing w:after="0"/>
            </w:pPr>
            <w:r>
              <w:rPr>
                <w:rFonts w:ascii="Consolas" w:cs="Consolas" w:eastAsia="Consolas" w:hAnsi="Consolas"/>
                <w:sz w:val="18"/>
                <w:szCs w:val="18"/>
              </w:rPr>
              <w:t xml:space="preserve">    data_assinatura:   { seletor: "td:nth-child(5)", transformar: [data_br] }</w:t>
            </w:r>
          </w:p>
        </w:tc>
      </w:tr>
      <w:tr>
        <w:tc>
          <w:tcPr>
            <w:tcW w:type="dxa" w:w="9600"/>
            <w:tcBorders>
              <w:top w:val="none" w:color="FFFFFF" w:sz="0"/>
              <w:left w:val="none" w:color="FFFFFF" w:sz="0"/>
              <w:bottom w:val="none" w:color="FFFFFF" w:sz="0"/>
              <w:right w:val="none" w:color="FFFFFF" w:sz="0"/>
            </w:tcBorders>
            <w:shd w:fill="F5F5F5" w:val="clear"/>
            <w:tcMar>
              <w:top w:type="dxa" w:w="20"/>
              <w:left w:type="dxa" w:w="120"/>
              <w:bottom w:type="dxa" w:w="20"/>
              <w:right w:type="dxa" w:w="100"/>
            </w:tcMar>
          </w:tcPr>
          <w:p>
            <w:pPr>
              <w:spacing w:after="0"/>
            </w:pPr>
            <w:r>
              <w:rPr>
                <w:rFonts w:ascii="Consolas" w:cs="Consolas" w:eastAsia="Consolas" w:hAnsi="Consolas"/>
                <w:sz w:val="18"/>
                <w:szCs w:val="18"/>
              </w:rPr>
              <w:t xml:space="preserve">    documento_detalhe: { seletor: "td:nth-child(6) a", atributo: "href" }</w:t>
            </w:r>
          </w:p>
        </w:tc>
      </w:tr>
      <w:tr>
        <w:tc>
          <w:tcPr>
            <w:tcW w:type="dxa" w:w="9600"/>
            <w:tcBorders>
              <w:top w:val="none" w:color="FFFFFF" w:sz="0"/>
              <w:left w:val="none" w:color="FFFFFF" w:sz="0"/>
              <w:bottom w:val="none" w:color="FFFFFF" w:sz="0"/>
              <w:right w:val="none" w:color="FFFFFF" w:sz="0"/>
            </w:tcBorders>
            <w:shd w:fill="F5F5F5" w:val="clear"/>
            <w:tcMar>
              <w:top w:type="dxa" w:w="20"/>
              <w:left w:type="dxa" w:w="120"/>
              <w:bottom w:type="dxa" w:w="20"/>
              <w:right w:type="dxa" w:w="100"/>
            </w:tcMar>
          </w:tcPr>
          <w:p>
            <w:pPr>
              <w:spacing w:after="0"/>
            </w:pPr>
            <w:r>
              <w:rPr>
                <w:rFonts w:ascii="Consolas" w:cs="Consolas" w:eastAsia="Consolas" w:hAnsi="Consolas"/>
                <w:sz w:val="18"/>
                <w:szCs w:val="18"/>
              </w:rPr>
              <w:t xml:space="preserve"> </w:t>
            </w:r>
          </w:p>
        </w:tc>
      </w:tr>
      <w:tr>
        <w:tc>
          <w:tcPr>
            <w:tcW w:type="dxa" w:w="9600"/>
            <w:tcBorders>
              <w:top w:val="none" w:color="FFFFFF" w:sz="0"/>
              <w:left w:val="none" w:color="FFFFFF" w:sz="0"/>
              <w:bottom w:val="none" w:color="FFFFFF" w:sz="0"/>
              <w:right w:val="none" w:color="FFFFFF" w:sz="0"/>
            </w:tcBorders>
            <w:shd w:fill="F5F5F5" w:val="clear"/>
            <w:tcMar>
              <w:top w:type="dxa" w:w="20"/>
              <w:left w:type="dxa" w:w="120"/>
              <w:bottom w:type="dxa" w:w="20"/>
              <w:right w:type="dxa" w:w="100"/>
            </w:tcMar>
          </w:tcPr>
          <w:p>
            <w:pPr>
              <w:spacing w:after="0"/>
            </w:pPr>
            <w:r>
              <w:rPr>
                <w:rFonts w:ascii="Consolas" w:cs="Consolas" w:eastAsia="Consolas" w:hAnsi="Consolas"/>
                <w:sz w:val="18"/>
                <w:szCs w:val="18"/>
              </w:rPr>
              <w:t xml:space="preserve">qualidade:</w:t>
            </w:r>
          </w:p>
        </w:tc>
      </w:tr>
      <w:tr>
        <w:tc>
          <w:tcPr>
            <w:tcW w:type="dxa" w:w="9600"/>
            <w:tcBorders>
              <w:top w:val="none" w:color="FFFFFF" w:sz="0"/>
              <w:left w:val="none" w:color="FFFFFF" w:sz="0"/>
              <w:bottom w:val="none" w:color="FFFFFF" w:sz="0"/>
              <w:right w:val="none" w:color="FFFFFF" w:sz="0"/>
            </w:tcBorders>
            <w:shd w:fill="F5F5F5" w:val="clear"/>
            <w:tcMar>
              <w:top w:type="dxa" w:w="20"/>
              <w:left w:type="dxa" w:w="120"/>
              <w:bottom w:type="dxa" w:w="20"/>
              <w:right w:type="dxa" w:w="100"/>
            </w:tcMar>
          </w:tcPr>
          <w:p>
            <w:pPr>
              <w:spacing w:after="0"/>
            </w:pPr>
            <w:r>
              <w:rPr>
                <w:rFonts w:ascii="Consolas" w:cs="Consolas" w:eastAsia="Consolas" w:hAnsi="Consolas"/>
                <w:sz w:val="18"/>
                <w:szCs w:val="18"/>
              </w:rPr>
              <w:t xml:space="preserve">  obrigatorios: [numero, objeto, valor_inicial, data_assinatura]</w:t>
            </w:r>
          </w:p>
        </w:tc>
      </w:tr>
      <w:tr>
        <w:tc>
          <w:tcPr>
            <w:tcW w:type="dxa" w:w="9600"/>
            <w:tcBorders>
              <w:top w:val="none" w:color="FFFFFF" w:sz="0"/>
              <w:left w:val="none" w:color="FFFFFF" w:sz="0"/>
              <w:bottom w:val="none" w:color="FFFFFF" w:sz="0"/>
              <w:right w:val="none" w:color="FFFFFF" w:sz="0"/>
            </w:tcBorders>
            <w:shd w:fill="F5F5F5" w:val="clear"/>
            <w:tcMar>
              <w:top w:type="dxa" w:w="20"/>
              <w:left w:type="dxa" w:w="120"/>
              <w:bottom w:type="dxa" w:w="20"/>
              <w:right w:type="dxa" w:w="100"/>
            </w:tcMar>
          </w:tcPr>
          <w:p>
            <w:pPr>
              <w:spacing w:after="0"/>
            </w:pPr>
            <w:r>
              <w:rPr>
                <w:rFonts w:ascii="Consolas" w:cs="Consolas" w:eastAsia="Consolas" w:hAnsi="Consolas"/>
                <w:sz w:val="18"/>
                <w:szCs w:val="18"/>
              </w:rPr>
              <w:t xml:space="preserve">  validacoes:</w:t>
            </w:r>
          </w:p>
        </w:tc>
      </w:tr>
      <w:tr>
        <w:tc>
          <w:tcPr>
            <w:tcW w:type="dxa" w:w="9600"/>
            <w:tcBorders>
              <w:top w:val="none" w:color="FFFFFF" w:sz="0"/>
              <w:left w:val="none" w:color="FFFFFF" w:sz="0"/>
              <w:bottom w:val="none" w:color="FFFFFF" w:sz="0"/>
              <w:right w:val="none" w:color="FFFFFF" w:sz="0"/>
            </w:tcBorders>
            <w:shd w:fill="F5F5F5" w:val="clear"/>
            <w:tcMar>
              <w:top w:type="dxa" w:w="20"/>
              <w:left w:type="dxa" w:w="120"/>
              <w:bottom w:type="dxa" w:w="20"/>
              <w:right w:type="dxa" w:w="100"/>
            </w:tcMar>
          </w:tcPr>
          <w:p>
            <w:pPr>
              <w:spacing w:after="0"/>
            </w:pPr>
            <w:r>
              <w:rPr>
                <w:rFonts w:ascii="Consolas" w:cs="Consolas" w:eastAsia="Consolas" w:hAnsi="Consolas"/>
                <w:sz w:val="18"/>
                <w:szCs w:val="18"/>
              </w:rPr>
              <w:t xml:space="preserve">    - campo: fornecedor_cnpj</w:t>
            </w:r>
          </w:p>
        </w:tc>
      </w:tr>
      <w:tr>
        <w:tc>
          <w:tcPr>
            <w:tcW w:type="dxa" w:w="9600"/>
            <w:tcBorders>
              <w:top w:val="none" w:color="FFFFFF" w:sz="0"/>
              <w:left w:val="none" w:color="FFFFFF" w:sz="0"/>
              <w:bottom w:val="none" w:color="FFFFFF" w:sz="0"/>
              <w:right w:val="none" w:color="FFFFFF" w:sz="0"/>
            </w:tcBorders>
            <w:shd w:fill="F5F5F5" w:val="clear"/>
            <w:tcMar>
              <w:top w:type="dxa" w:w="20"/>
              <w:left w:type="dxa" w:w="120"/>
              <w:bottom w:type="dxa" w:w="20"/>
              <w:right w:type="dxa" w:w="100"/>
            </w:tcMar>
          </w:tcPr>
          <w:p>
            <w:pPr>
              <w:spacing w:after="0"/>
            </w:pPr>
            <w:r>
              <w:rPr>
                <w:rFonts w:ascii="Consolas" w:cs="Consolas" w:eastAsia="Consolas" w:hAnsi="Consolas"/>
                <w:sz w:val="18"/>
                <w:szCs w:val="18"/>
              </w:rPr>
              <w:t xml:space="preserve">      regra: cnpj_valido</w:t>
            </w:r>
          </w:p>
        </w:tc>
      </w:tr>
      <w:tr>
        <w:tc>
          <w:tcPr>
            <w:tcW w:type="dxa" w:w="9600"/>
            <w:tcBorders>
              <w:top w:val="none" w:color="FFFFFF" w:sz="0"/>
              <w:left w:val="none" w:color="FFFFFF" w:sz="0"/>
              <w:bottom w:val="none" w:color="FFFFFF" w:sz="0"/>
              <w:right w:val="none" w:color="FFFFFF" w:sz="0"/>
            </w:tcBorders>
            <w:shd w:fill="F5F5F5" w:val="clear"/>
            <w:tcMar>
              <w:top w:type="dxa" w:w="20"/>
              <w:left w:type="dxa" w:w="120"/>
              <w:bottom w:type="dxa" w:w="20"/>
              <w:right w:type="dxa" w:w="100"/>
            </w:tcMar>
          </w:tcPr>
          <w:p>
            <w:pPr>
              <w:spacing w:after="0"/>
            </w:pPr>
            <w:r>
              <w:rPr>
                <w:rFonts w:ascii="Consolas" w:cs="Consolas" w:eastAsia="Consolas" w:hAnsi="Consolas"/>
                <w:sz w:val="18"/>
                <w:szCs w:val="18"/>
              </w:rPr>
              <w:t xml:space="preserve">      ao_falhar: quarentena</w:t>
            </w:r>
          </w:p>
        </w:tc>
      </w:tr>
      <w:tr>
        <w:tc>
          <w:tcPr>
            <w:tcW w:type="dxa" w:w="9600"/>
            <w:tcBorders>
              <w:top w:val="none" w:color="FFFFFF" w:sz="0"/>
              <w:left w:val="none" w:color="FFFFFF" w:sz="0"/>
              <w:bottom w:val="none" w:color="FFFFFF" w:sz="0"/>
              <w:right w:val="none" w:color="FFFFFF" w:sz="0"/>
            </w:tcBorders>
            <w:shd w:fill="F5F5F5" w:val="clear"/>
            <w:tcMar>
              <w:top w:type="dxa" w:w="20"/>
              <w:left w:type="dxa" w:w="120"/>
              <w:bottom w:type="dxa" w:w="20"/>
              <w:right w:type="dxa" w:w="100"/>
            </w:tcMar>
          </w:tcPr>
          <w:p>
            <w:pPr>
              <w:spacing w:after="0"/>
            </w:pPr>
            <w:r>
              <w:rPr>
                <w:rFonts w:ascii="Consolas" w:cs="Consolas" w:eastAsia="Consolas" w:hAnsi="Consolas"/>
                <w:sz w:val="18"/>
                <w:szCs w:val="18"/>
              </w:rPr>
              <w:t xml:space="preserve"> </w:t>
            </w:r>
          </w:p>
        </w:tc>
      </w:tr>
      <w:tr>
        <w:tc>
          <w:tcPr>
            <w:tcW w:type="dxa" w:w="9600"/>
            <w:tcBorders>
              <w:top w:val="none" w:color="FFFFFF" w:sz="0"/>
              <w:left w:val="none" w:color="FFFFFF" w:sz="0"/>
              <w:bottom w:val="none" w:color="FFFFFF" w:sz="0"/>
              <w:right w:val="none" w:color="FFFFFF" w:sz="0"/>
            </w:tcBorders>
            <w:shd w:fill="F5F5F5" w:val="clear"/>
            <w:tcMar>
              <w:top w:type="dxa" w:w="20"/>
              <w:left w:type="dxa" w:w="120"/>
              <w:bottom w:type="dxa" w:w="20"/>
              <w:right w:type="dxa" w:w="100"/>
            </w:tcMar>
          </w:tcPr>
          <w:p>
            <w:pPr>
              <w:spacing w:after="0"/>
            </w:pPr>
            <w:r>
              <w:rPr>
                <w:rFonts w:ascii="Consolas" w:cs="Consolas" w:eastAsia="Consolas" w:hAnsi="Consolas"/>
                <w:sz w:val="18"/>
                <w:szCs w:val="18"/>
              </w:rPr>
              <w:t xml:space="preserve">conformidade:</w:t>
            </w:r>
          </w:p>
        </w:tc>
      </w:tr>
      <w:tr>
        <w:tc>
          <w:tcPr>
            <w:tcW w:type="dxa" w:w="9600"/>
            <w:tcBorders>
              <w:top w:val="none" w:color="FFFFFF" w:sz="0"/>
              <w:left w:val="none" w:color="FFFFFF" w:sz="0"/>
              <w:bottom w:val="none" w:color="FFFFFF" w:sz="0"/>
              <w:right w:val="none" w:color="FFFFFF" w:sz="0"/>
            </w:tcBorders>
            <w:shd w:fill="F5F5F5" w:val="clear"/>
            <w:tcMar>
              <w:top w:type="dxa" w:w="20"/>
              <w:left w:type="dxa" w:w="120"/>
              <w:bottom w:type="dxa" w:w="20"/>
              <w:right w:type="dxa" w:w="100"/>
            </w:tcMar>
          </w:tcPr>
          <w:p>
            <w:pPr>
              <w:spacing w:after="0"/>
            </w:pPr>
            <w:r>
              <w:rPr>
                <w:rFonts w:ascii="Consolas" w:cs="Consolas" w:eastAsia="Consolas" w:hAnsi="Consolas"/>
                <w:sz w:val="18"/>
                <w:szCs w:val="18"/>
              </w:rPr>
              <w:t xml:space="preserve">  # o que a lei exige e esta fonte NAO oferece</w:t>
            </w:r>
          </w:p>
        </w:tc>
      </w:tr>
      <w:tr>
        <w:tc>
          <w:tcPr>
            <w:tcW w:type="dxa" w:w="9600"/>
            <w:tcBorders>
              <w:top w:val="none" w:color="FFFFFF" w:sz="0"/>
              <w:left w:val="none" w:color="FFFFFF" w:sz="0"/>
              <w:bottom w:val="none" w:color="FFFFFF" w:sz="0"/>
              <w:right w:val="none" w:color="FFFFFF" w:sz="0"/>
            </w:tcBorders>
            <w:shd w:fill="F5F5F5" w:val="clear"/>
            <w:tcMar>
              <w:top w:type="dxa" w:w="20"/>
              <w:left w:type="dxa" w:w="120"/>
              <w:bottom w:type="dxa" w:w="20"/>
              <w:right w:type="dxa" w:w="100"/>
            </w:tcMar>
          </w:tcPr>
          <w:p>
            <w:pPr>
              <w:spacing w:after="0"/>
            </w:pPr>
            <w:r>
              <w:rPr>
                <w:rFonts w:ascii="Consolas" w:cs="Consolas" w:eastAsia="Consolas" w:hAnsi="Consolas"/>
                <w:sz w:val="18"/>
                <w:szCs w:val="18"/>
              </w:rPr>
              <w:t xml:space="preserve">  campos_ausentes: [amparo_legal, agente_autorizador]</w:t>
            </w:r>
          </w:p>
        </w:tc>
      </w:tr>
      <w:tr>
        <w:tc>
          <w:tcPr>
            <w:tcW w:type="dxa" w:w="9600"/>
            <w:tcBorders>
              <w:top w:val="none" w:color="FFFFFF" w:sz="0"/>
              <w:left w:val="none" w:color="FFFFFF" w:sz="0"/>
              <w:bottom w:val="none" w:color="FFFFFF" w:sz="0"/>
              <w:right w:val="none" w:color="FFFFFF" w:sz="0"/>
            </w:tcBorders>
            <w:shd w:fill="F5F5F5" w:val="clear"/>
            <w:tcMar>
              <w:top w:type="dxa" w:w="20"/>
              <w:left w:type="dxa" w:w="120"/>
              <w:bottom w:type="dxa" w:w="20"/>
              <w:right w:type="dxa" w:w="100"/>
            </w:tcMar>
          </w:tcPr>
          <w:p>
            <w:pPr>
              <w:spacing w:after="0"/>
            </w:pPr>
            <w:r>
              <w:rPr>
                <w:rFonts w:ascii="Consolas" w:cs="Consolas" w:eastAsia="Consolas" w:hAnsi="Consolas"/>
                <w:sz w:val="18"/>
                <w:szCs w:val="18"/>
              </w:rPr>
              <w:t xml:space="preserve">  dispositivo: "Lei 14.133/2021, art. 174"</w:t>
            </w:r>
          </w:p>
        </w:tc>
      </w:tr>
    </w:tbl>
    <w:p>
      <w:pPr>
        <w:spacing w:after="120"/>
      </w:pPr>
      <w:r>
        <w:rPr>
          <w:b w:val="false"/>
          <w:bCs w:val="false"/>
          <w:i w:val="false"/>
          <w:iCs w:val="false"/>
        </w:rPr>
        <w:t xml:space="preserve">O bloco de conformidade merece atenção: ele declara, no próprio cadastro da fonte, quais informações legalmente exigidas aquele portal não publica. Essa declaração vira insumo automático do índice de conformidade do ente, sem trabalho adicional.</w:t>
      </w:r>
    </w:p>
    <w:p>
      <w:r>
        <w:br w:type="page"/>
      </w:r>
    </w:p>
    <w:p>
      <w:pPr>
        <w:pStyle w:val="Heading1"/>
        <w:keepNext/>
        <w:keepLines/>
        <w:spacing w:after="160" w:before="380"/>
      </w:pPr>
      <w:bookmarkStart w:name="_Toc20" w:id="20"/>
      <w:r>
        <w:t xml:space="preserve">5. Política de coleta responsável</w:t>
      </w:r>
      <w:bookmarkEnd w:id="20"/>
    </w:p>
    <w:p>
      <w:pPr>
        <w:spacing w:after="120"/>
      </w:pPr>
      <w:r>
        <w:rPr>
          <w:b w:val="false"/>
          <w:bCs w:val="false"/>
          <w:i w:val="false"/>
          <w:iCs w:val="false"/>
        </w:rPr>
        <w:t xml:space="preserve">O Lumen depende da boa saúde dos serviços públicos que consulta. Degradar um portal de transparência para coletar dados seria contraditório com o propósito do projeto.</w:t>
      </w:r>
    </w:p>
    <w:tbl>
      <w:tblPr>
        <w:tblW w:type="dxa" w:w="9600"/>
        <w:tblBorders>
          <w:top w:val="single" w:color="BFBFBF" w:sz="4"/>
          <w:left w:val="single" w:color="BFBFBF" w:sz="4"/>
          <w:bottom w:val="single" w:color="BFBFBF" w:sz="4"/>
          <w:right w:val="single" w:color="BFBFBF" w:sz="4"/>
          <w:insideH w:val="single" w:color="D9D9D9" w:sz="2"/>
          <w:insideV w:val="single" w:color="D9D9D9" w:sz="2"/>
        </w:tblBorders>
      </w:tblPr>
      <w:tblGrid>
        <w:gridCol w:w="2600"/>
        <w:gridCol w:w="7000"/>
      </w:tblGrid>
      <w:tr>
        <w:trPr>
          <w:tblHeader/>
        </w:trPr>
        <w:tc>
          <w:tcPr>
            <w:tcW w:type="dxa" w:w="2600"/>
            <w:shd w:fill="1F3864" w:val="clear"/>
            <w:tcMar>
              <w:top w:type="dxa" w:w="80"/>
              <w:left w:type="dxa" w:w="110"/>
              <w:bottom w:type="dxa" w:w="80"/>
              <w:right w:type="dxa" w:w="110"/>
            </w:tcMar>
            <w:vAlign w:val="center"/>
          </w:tcPr>
          <w:p>
            <w:pPr>
              <w:spacing w:after="0"/>
            </w:pPr>
            <w:r>
              <w:rPr>
                <w:b/>
                <w:bCs/>
                <w:color w:val="FFFFFF"/>
                <w:sz w:val="19"/>
                <w:szCs w:val="19"/>
              </w:rPr>
              <w:t xml:space="preserve">Regra</w:t>
            </w:r>
          </w:p>
        </w:tc>
        <w:tc>
          <w:tcPr>
            <w:tcW w:type="dxa" w:w="7000"/>
            <w:shd w:fill="1F3864" w:val="clear"/>
            <w:tcMar>
              <w:top w:type="dxa" w:w="80"/>
              <w:left w:type="dxa" w:w="110"/>
              <w:bottom w:type="dxa" w:w="80"/>
              <w:right w:type="dxa" w:w="110"/>
            </w:tcMar>
            <w:vAlign w:val="center"/>
          </w:tcPr>
          <w:p>
            <w:pPr>
              <w:spacing w:after="0"/>
            </w:pPr>
            <w:r>
              <w:rPr>
                <w:b/>
                <w:bCs/>
                <w:color w:val="FFFFFF"/>
                <w:sz w:val="19"/>
                <w:szCs w:val="19"/>
              </w:rPr>
              <w:t xml:space="preserve">Detalhamento</w:t>
            </w:r>
          </w:p>
        </w:tc>
      </w:tr>
      <w:tr>
        <w:trPr>
          <w:cantSplit/>
        </w:trPr>
        <w:tc>
          <w:tcPr>
            <w:tcW w:type="dxa" w:w="2600"/>
            <w:shd w:fill="FFFFFF" w:val="clear"/>
            <w:tcMar>
              <w:top w:type="dxa" w:w="70"/>
              <w:left w:type="dxa" w:w="110"/>
              <w:bottom w:type="dxa" w:w="70"/>
              <w:right w:type="dxa" w:w="110"/>
            </w:tcMar>
            <w:vAlign w:val="center"/>
          </w:tcPr>
          <w:p>
            <w:pPr>
              <w:spacing w:after="0"/>
            </w:pPr>
            <w:r>
              <w:rPr>
                <w:b w:val="false"/>
                <w:bCs w:val="false"/>
                <w:sz w:val="19"/>
                <w:szCs w:val="19"/>
              </w:rPr>
              <w:t xml:space="preserve">Identificação</w:t>
            </w:r>
          </w:p>
        </w:tc>
        <w:tc>
          <w:tcPr>
            <w:tcW w:type="dxa" w:w="7000"/>
            <w:shd w:fill="FFFFFF" w:val="clear"/>
            <w:tcMar>
              <w:top w:type="dxa" w:w="70"/>
              <w:left w:type="dxa" w:w="110"/>
              <w:bottom w:type="dxa" w:w="70"/>
              <w:right w:type="dxa" w:w="110"/>
            </w:tcMar>
            <w:vAlign w:val="center"/>
          </w:tcPr>
          <w:p>
            <w:pPr>
              <w:spacing w:after="0"/>
            </w:pPr>
            <w:r>
              <w:rPr>
                <w:b w:val="false"/>
                <w:bCs w:val="false"/>
                <w:sz w:val="19"/>
                <w:szCs w:val="19"/>
              </w:rPr>
              <w:t xml:space="preserve">User-Agent próprio com nome do projeto, versão e endereço de contato em toda requisição</w:t>
            </w:r>
          </w:p>
        </w:tc>
      </w:tr>
      <w:tr>
        <w:trPr>
          <w:cantSplit/>
        </w:trPr>
        <w:tc>
          <w:tcPr>
            <w:tcW w:type="dxa" w:w="2600"/>
            <w:shd w:fill="F2F2F2" w:val="clear"/>
            <w:tcMar>
              <w:top w:type="dxa" w:w="70"/>
              <w:left w:type="dxa" w:w="110"/>
              <w:bottom w:type="dxa" w:w="70"/>
              <w:right w:type="dxa" w:w="110"/>
            </w:tcMar>
            <w:vAlign w:val="center"/>
          </w:tcPr>
          <w:p>
            <w:pPr>
              <w:spacing w:after="0"/>
            </w:pPr>
            <w:r>
              <w:rPr>
                <w:b w:val="false"/>
                <w:bCs w:val="false"/>
                <w:sz w:val="19"/>
                <w:szCs w:val="19"/>
              </w:rPr>
              <w:t xml:space="preserve">Preferência por API</w:t>
            </w:r>
          </w:p>
        </w:tc>
        <w:tc>
          <w:tcPr>
            <w:tcW w:type="dxa" w:w="7000"/>
            <w:shd w:fill="F2F2F2" w:val="clear"/>
            <w:tcMar>
              <w:top w:type="dxa" w:w="70"/>
              <w:left w:type="dxa" w:w="110"/>
              <w:bottom w:type="dxa" w:w="70"/>
              <w:right w:type="dxa" w:w="110"/>
            </w:tcMar>
            <w:vAlign w:val="center"/>
          </w:tcPr>
          <w:p>
            <w:pPr>
              <w:spacing w:after="0"/>
            </w:pPr>
            <w:r>
              <w:rPr>
                <w:b w:val="false"/>
                <w:bCs w:val="false"/>
                <w:sz w:val="19"/>
                <w:szCs w:val="19"/>
              </w:rPr>
              <w:t xml:space="preserve">Raspagem só quando não existir API ou exportação estruturada</w:t>
            </w:r>
          </w:p>
        </w:tc>
      </w:tr>
      <w:tr>
        <w:trPr>
          <w:cantSplit/>
        </w:trPr>
        <w:tc>
          <w:tcPr>
            <w:tcW w:type="dxa" w:w="2600"/>
            <w:shd w:fill="FFFFFF" w:val="clear"/>
            <w:tcMar>
              <w:top w:type="dxa" w:w="70"/>
              <w:left w:type="dxa" w:w="110"/>
              <w:bottom w:type="dxa" w:w="70"/>
              <w:right w:type="dxa" w:w="110"/>
            </w:tcMar>
            <w:vAlign w:val="center"/>
          </w:tcPr>
          <w:p>
            <w:pPr>
              <w:spacing w:after="0"/>
            </w:pPr>
            <w:r>
              <w:rPr>
                <w:b w:val="false"/>
                <w:bCs w:val="false"/>
                <w:sz w:val="19"/>
                <w:szCs w:val="19"/>
              </w:rPr>
              <w:t xml:space="preserve">Vazão conservadora</w:t>
            </w:r>
          </w:p>
        </w:tc>
        <w:tc>
          <w:tcPr>
            <w:tcW w:type="dxa" w:w="7000"/>
            <w:shd w:fill="FFFFFF" w:val="clear"/>
            <w:tcMar>
              <w:top w:type="dxa" w:w="70"/>
              <w:left w:type="dxa" w:w="110"/>
              <w:bottom w:type="dxa" w:w="70"/>
              <w:right w:type="dxa" w:w="110"/>
            </w:tcMar>
            <w:vAlign w:val="center"/>
          </w:tcPr>
          <w:p>
            <w:pPr>
              <w:spacing w:after="0"/>
            </w:pPr>
            <w:r>
              <w:rPr>
                <w:b w:val="false"/>
                <w:bCs w:val="false"/>
                <w:sz w:val="19"/>
                <w:szCs w:val="19"/>
              </w:rPr>
              <w:t xml:space="preserve">Padrão baixo por fonte; aumento só com evidência de que a fonte suporta</w:t>
            </w:r>
          </w:p>
        </w:tc>
      </w:tr>
      <w:tr>
        <w:trPr>
          <w:cantSplit/>
        </w:trPr>
        <w:tc>
          <w:tcPr>
            <w:tcW w:type="dxa" w:w="2600"/>
            <w:shd w:fill="F2F2F2" w:val="clear"/>
            <w:tcMar>
              <w:top w:type="dxa" w:w="70"/>
              <w:left w:type="dxa" w:w="110"/>
              <w:bottom w:type="dxa" w:w="70"/>
              <w:right w:type="dxa" w:w="110"/>
            </w:tcMar>
            <w:vAlign w:val="center"/>
          </w:tcPr>
          <w:p>
            <w:pPr>
              <w:spacing w:after="0"/>
            </w:pPr>
            <w:r>
              <w:rPr>
                <w:b w:val="false"/>
                <w:bCs w:val="false"/>
                <w:sz w:val="19"/>
                <w:szCs w:val="19"/>
              </w:rPr>
              <w:t xml:space="preserve">Janela preferencial</w:t>
            </w:r>
          </w:p>
        </w:tc>
        <w:tc>
          <w:tcPr>
            <w:tcW w:type="dxa" w:w="7000"/>
            <w:shd w:fill="F2F2F2" w:val="clear"/>
            <w:tcMar>
              <w:top w:type="dxa" w:w="70"/>
              <w:left w:type="dxa" w:w="110"/>
              <w:bottom w:type="dxa" w:w="70"/>
              <w:right w:type="dxa" w:w="110"/>
            </w:tcMar>
            <w:vAlign w:val="center"/>
          </w:tcPr>
          <w:p>
            <w:pPr>
              <w:spacing w:after="0"/>
            </w:pPr>
            <w:r>
              <w:rPr>
                <w:b w:val="false"/>
                <w:bCs w:val="false"/>
                <w:sz w:val="19"/>
                <w:szCs w:val="19"/>
              </w:rPr>
              <w:t xml:space="preserve">Coletas volumosas em horário de menor uso quando a fonte publicar essa informação</w:t>
            </w:r>
          </w:p>
        </w:tc>
      </w:tr>
      <w:tr>
        <w:trPr>
          <w:cantSplit/>
        </w:trPr>
        <w:tc>
          <w:tcPr>
            <w:tcW w:type="dxa" w:w="2600"/>
            <w:shd w:fill="FFFFFF" w:val="clear"/>
            <w:tcMar>
              <w:top w:type="dxa" w:w="70"/>
              <w:left w:type="dxa" w:w="110"/>
              <w:bottom w:type="dxa" w:w="70"/>
              <w:right w:type="dxa" w:w="110"/>
            </w:tcMar>
            <w:vAlign w:val="center"/>
          </w:tcPr>
          <w:p>
            <w:pPr>
              <w:spacing w:after="0"/>
            </w:pPr>
            <w:r>
              <w:rPr>
                <w:b w:val="false"/>
                <w:bCs w:val="false"/>
                <w:sz w:val="19"/>
                <w:szCs w:val="19"/>
              </w:rPr>
              <w:t xml:space="preserve">Coleta incremental</w:t>
            </w:r>
          </w:p>
        </w:tc>
        <w:tc>
          <w:tcPr>
            <w:tcW w:type="dxa" w:w="7000"/>
            <w:shd w:fill="FFFFFF" w:val="clear"/>
            <w:tcMar>
              <w:top w:type="dxa" w:w="70"/>
              <w:left w:type="dxa" w:w="110"/>
              <w:bottom w:type="dxa" w:w="70"/>
              <w:right w:type="dxa" w:w="110"/>
            </w:tcMar>
            <w:vAlign w:val="center"/>
          </w:tcPr>
          <w:p>
            <w:pPr>
              <w:spacing w:after="0"/>
            </w:pPr>
            <w:r>
              <w:rPr>
                <w:b w:val="false"/>
                <w:bCs w:val="false"/>
                <w:sz w:val="19"/>
                <w:szCs w:val="19"/>
              </w:rPr>
              <w:t xml:space="preserve">Uso de endpoints por data de atualização em vez de varredura completa recorrente</w:t>
            </w:r>
          </w:p>
        </w:tc>
      </w:tr>
      <w:tr>
        <w:trPr>
          <w:cantSplit/>
        </w:trPr>
        <w:tc>
          <w:tcPr>
            <w:tcW w:type="dxa" w:w="2600"/>
            <w:shd w:fill="F2F2F2" w:val="clear"/>
            <w:tcMar>
              <w:top w:type="dxa" w:w="70"/>
              <w:left w:type="dxa" w:w="110"/>
              <w:bottom w:type="dxa" w:w="70"/>
              <w:right w:type="dxa" w:w="110"/>
            </w:tcMar>
            <w:vAlign w:val="center"/>
          </w:tcPr>
          <w:p>
            <w:pPr>
              <w:spacing w:after="0"/>
            </w:pPr>
            <w:r>
              <w:rPr>
                <w:b w:val="false"/>
                <w:bCs w:val="false"/>
                <w:sz w:val="19"/>
                <w:szCs w:val="19"/>
              </w:rPr>
              <w:t xml:space="preserve">Recuo em erro</w:t>
            </w:r>
          </w:p>
        </w:tc>
        <w:tc>
          <w:tcPr>
            <w:tcW w:type="dxa" w:w="7000"/>
            <w:shd w:fill="F2F2F2" w:val="clear"/>
            <w:tcMar>
              <w:top w:type="dxa" w:w="70"/>
              <w:left w:type="dxa" w:w="110"/>
              <w:bottom w:type="dxa" w:w="70"/>
              <w:right w:type="dxa" w:w="110"/>
            </w:tcMar>
            <w:vAlign w:val="center"/>
          </w:tcPr>
          <w:p>
            <w:pPr>
              <w:spacing w:after="0"/>
            </w:pPr>
            <w:r>
              <w:rPr>
                <w:b w:val="false"/>
                <w:bCs w:val="false"/>
                <w:sz w:val="19"/>
                <w:szCs w:val="19"/>
              </w:rPr>
              <w:t xml:space="preserve">Espera exponencial e suspensão temporária da fonte após falhas sucessivas</w:t>
            </w:r>
          </w:p>
        </w:tc>
      </w:tr>
      <w:tr>
        <w:trPr>
          <w:cantSplit/>
        </w:trPr>
        <w:tc>
          <w:tcPr>
            <w:tcW w:type="dxa" w:w="2600"/>
            <w:shd w:fill="FFFFFF" w:val="clear"/>
            <w:tcMar>
              <w:top w:type="dxa" w:w="70"/>
              <w:left w:type="dxa" w:w="110"/>
              <w:bottom w:type="dxa" w:w="70"/>
              <w:right w:type="dxa" w:w="110"/>
            </w:tcMar>
            <w:vAlign w:val="center"/>
          </w:tcPr>
          <w:p>
            <w:pPr>
              <w:spacing w:after="0"/>
            </w:pPr>
            <w:r>
              <w:rPr>
                <w:b w:val="false"/>
                <w:bCs w:val="false"/>
                <w:sz w:val="19"/>
                <w:szCs w:val="19"/>
              </w:rPr>
              <w:t xml:space="preserve">Limite da fonte (429)</w:t>
            </w:r>
          </w:p>
        </w:tc>
        <w:tc>
          <w:tcPr>
            <w:tcW w:type="dxa" w:w="7000"/>
            <w:shd w:fill="FFFFFF" w:val="clear"/>
            <w:tcMar>
              <w:top w:type="dxa" w:w="70"/>
              <w:left w:type="dxa" w:w="110"/>
              <w:bottom w:type="dxa" w:w="70"/>
              <w:right w:type="dxa" w:w="110"/>
            </w:tcMar>
            <w:vAlign w:val="center"/>
          </w:tcPr>
          <w:p>
            <w:pPr>
              <w:spacing w:after="0"/>
            </w:pPr>
            <w:r>
              <w:rPr>
                <w:b w:val="false"/>
                <w:bCs w:val="false"/>
                <w:sz w:val="19"/>
                <w:szCs w:val="19"/>
              </w:rPr>
              <w:t xml:space="preserve">Resposta 429 reduz a vazão da fonte pela metade pelo resto da sessão e espera ao menos 30 s antes de repetir; só conta como falha quando a última tentativa também recebe 429. O PNCP respondeu 429 a 60 requisições por minuto a partir do GitHub Actions em outubro de 2026</w:t>
            </w:r>
          </w:p>
        </w:tc>
      </w:tr>
      <w:tr>
        <w:trPr>
          <w:cantSplit/>
        </w:trPr>
        <w:tc>
          <w:tcPr>
            <w:tcW w:type="dxa" w:w="2600"/>
            <w:shd w:fill="F2F2F2" w:val="clear"/>
            <w:tcMar>
              <w:top w:type="dxa" w:w="70"/>
              <w:left w:type="dxa" w:w="110"/>
              <w:bottom w:type="dxa" w:w="70"/>
              <w:right w:type="dxa" w:w="110"/>
            </w:tcMar>
            <w:vAlign w:val="center"/>
          </w:tcPr>
          <w:p>
            <w:pPr>
              <w:spacing w:after="0"/>
            </w:pPr>
            <w:r>
              <w:rPr>
                <w:b w:val="false"/>
                <w:bCs w:val="false"/>
                <w:sz w:val="19"/>
                <w:szCs w:val="19"/>
              </w:rPr>
              <w:t xml:space="preserve">Compressão de transporte</w:t>
            </w:r>
          </w:p>
        </w:tc>
        <w:tc>
          <w:tcPr>
            <w:tcW w:type="dxa" w:w="7000"/>
            <w:shd w:fill="F2F2F2" w:val="clear"/>
            <w:tcMar>
              <w:top w:type="dxa" w:w="70"/>
              <w:left w:type="dxa" w:w="110"/>
              <w:bottom w:type="dxa" w:w="70"/>
              <w:right w:type="dxa" w:w="110"/>
            </w:tcMar>
            <w:vAlign w:val="center"/>
          </w:tcPr>
          <w:p>
            <w:pPr>
              <w:spacing w:after="0"/>
            </w:pPr>
            <w:r>
              <w:rPr>
                <w:b w:val="false"/>
                <w:bCs w:val="false"/>
                <w:sz w:val="19"/>
                <w:szCs w:val="19"/>
              </w:rPr>
              <w:t xml:space="preserve">Resposta com Content-Encoding gzip ou deflate é descomprimida antes do bronze, com o limite de tamanho aplicado ao documento descomprimido (a API do IBGE comprime mesmo sem pedido)</w:t>
            </w:r>
          </w:p>
        </w:tc>
      </w:tr>
      <w:tr>
        <w:trPr>
          <w:cantSplit/>
        </w:trPr>
        <w:tc>
          <w:tcPr>
            <w:tcW w:type="dxa" w:w="2600"/>
            <w:shd w:fill="FFFFFF" w:val="clear"/>
            <w:tcMar>
              <w:top w:type="dxa" w:w="70"/>
              <w:left w:type="dxa" w:w="110"/>
              <w:bottom w:type="dxa" w:w="70"/>
              <w:right w:type="dxa" w:w="110"/>
            </w:tcMar>
            <w:vAlign w:val="center"/>
          </w:tcPr>
          <w:p>
            <w:pPr>
              <w:spacing w:after="0"/>
            </w:pPr>
            <w:r>
              <w:rPr>
                <w:b w:val="false"/>
                <w:bCs w:val="false"/>
                <w:sz w:val="19"/>
                <w:szCs w:val="19"/>
              </w:rPr>
              <w:t xml:space="preserve">Respeito a robots</w:t>
            </w:r>
          </w:p>
        </w:tc>
        <w:tc>
          <w:tcPr>
            <w:tcW w:type="dxa" w:w="7000"/>
            <w:shd w:fill="FFFFFF" w:val="clear"/>
            <w:tcMar>
              <w:top w:type="dxa" w:w="70"/>
              <w:left w:type="dxa" w:w="110"/>
              <w:bottom w:type="dxa" w:w="70"/>
              <w:right w:type="dxa" w:w="110"/>
            </w:tcMar>
            <w:vAlign w:val="center"/>
          </w:tcPr>
          <w:p>
            <w:pPr>
              <w:spacing w:after="0"/>
            </w:pPr>
            <w:r>
              <w:rPr>
                <w:b w:val="false"/>
                <w:bCs w:val="false"/>
                <w:sz w:val="19"/>
                <w:szCs w:val="19"/>
              </w:rPr>
              <w:t xml:space="preserve">Observância das diretrizes publicadas pelo domínio</w:t>
            </w:r>
          </w:p>
        </w:tc>
      </w:tr>
      <w:tr>
        <w:trPr>
          <w:cantSplit/>
        </w:trPr>
        <w:tc>
          <w:tcPr>
            <w:tcW w:type="dxa" w:w="2600"/>
            <w:shd w:fill="F2F2F2" w:val="clear"/>
            <w:tcMar>
              <w:top w:type="dxa" w:w="70"/>
              <w:left w:type="dxa" w:w="110"/>
              <w:bottom w:type="dxa" w:w="70"/>
              <w:right w:type="dxa" w:w="110"/>
            </w:tcMar>
            <w:vAlign w:val="center"/>
          </w:tcPr>
          <w:p>
            <w:pPr>
              <w:spacing w:after="0"/>
            </w:pPr>
            <w:r>
              <w:rPr>
                <w:b w:val="false"/>
                <w:bCs w:val="false"/>
                <w:sz w:val="19"/>
                <w:szCs w:val="19"/>
              </w:rPr>
              <w:t xml:space="preserve">Sem contorno de controle</w:t>
            </w:r>
          </w:p>
        </w:tc>
        <w:tc>
          <w:tcPr>
            <w:tcW w:type="dxa" w:w="7000"/>
            <w:shd w:fill="F2F2F2" w:val="clear"/>
            <w:tcMar>
              <w:top w:type="dxa" w:w="70"/>
              <w:left w:type="dxa" w:w="110"/>
              <w:bottom w:type="dxa" w:w="70"/>
              <w:right w:type="dxa" w:w="110"/>
            </w:tcMar>
            <w:vAlign w:val="center"/>
          </w:tcPr>
          <w:p>
            <w:pPr>
              <w:spacing w:after="0"/>
            </w:pPr>
            <w:r>
              <w:rPr>
                <w:b w:val="false"/>
                <w:bCs w:val="false"/>
                <w:sz w:val="19"/>
                <w:szCs w:val="19"/>
              </w:rPr>
              <w:t xml:space="preserve">Nenhuma tentativa de resolver CAPTCHA, burlar autenticação ou acessar área restrita</w:t>
            </w:r>
          </w:p>
        </w:tc>
      </w:tr>
      <w:tr>
        <w:trPr>
          <w:cantSplit/>
        </w:trPr>
        <w:tc>
          <w:tcPr>
            <w:tcW w:type="dxa" w:w="2600"/>
            <w:shd w:fill="FFFFFF" w:val="clear"/>
            <w:tcMar>
              <w:top w:type="dxa" w:w="70"/>
              <w:left w:type="dxa" w:w="110"/>
              <w:bottom w:type="dxa" w:w="70"/>
              <w:right w:type="dxa" w:w="110"/>
            </w:tcMar>
            <w:vAlign w:val="center"/>
          </w:tcPr>
          <w:p>
            <w:pPr>
              <w:spacing w:after="0"/>
            </w:pPr>
            <w:r>
              <w:rPr>
                <w:b w:val="false"/>
                <w:bCs w:val="false"/>
                <w:sz w:val="19"/>
                <w:szCs w:val="19"/>
              </w:rPr>
              <w:t xml:space="preserve">Cache agressivo</w:t>
            </w:r>
          </w:p>
        </w:tc>
        <w:tc>
          <w:tcPr>
            <w:tcW w:type="dxa" w:w="7000"/>
            <w:shd w:fill="FFFFFF" w:val="clear"/>
            <w:tcMar>
              <w:top w:type="dxa" w:w="70"/>
              <w:left w:type="dxa" w:w="110"/>
              <w:bottom w:type="dxa" w:w="70"/>
              <w:right w:type="dxa" w:w="110"/>
            </w:tcMar>
            <w:vAlign w:val="center"/>
          </w:tcPr>
          <w:p>
            <w:pPr>
              <w:spacing w:after="0"/>
            </w:pPr>
            <w:r>
              <w:rPr>
                <w:b w:val="false"/>
                <w:bCs w:val="false"/>
                <w:sz w:val="19"/>
                <w:szCs w:val="19"/>
              </w:rPr>
              <w:t xml:space="preserve">Artefato já coletado e inalterado não é rebaixado novamente</w:t>
            </w:r>
          </w:p>
        </w:tc>
      </w:tr>
      <w:tr>
        <w:trPr>
          <w:cantSplit/>
        </w:trPr>
        <w:tc>
          <w:tcPr>
            <w:tcW w:type="dxa" w:w="2600"/>
            <w:shd w:fill="F2F2F2" w:val="clear"/>
            <w:tcMar>
              <w:top w:type="dxa" w:w="70"/>
              <w:left w:type="dxa" w:w="110"/>
              <w:bottom w:type="dxa" w:w="70"/>
              <w:right w:type="dxa" w:w="110"/>
            </w:tcMar>
            <w:vAlign w:val="center"/>
          </w:tcPr>
          <w:p>
            <w:pPr>
              <w:spacing w:after="0"/>
            </w:pPr>
            <w:r>
              <w:rPr>
                <w:b w:val="false"/>
                <w:bCs w:val="false"/>
                <w:sz w:val="19"/>
                <w:szCs w:val="19"/>
              </w:rPr>
              <w:t xml:space="preserve">Requisição condicional</w:t>
            </w:r>
          </w:p>
        </w:tc>
        <w:tc>
          <w:tcPr>
            <w:tcW w:type="dxa" w:w="7000"/>
            <w:shd w:fill="F2F2F2" w:val="clear"/>
            <w:tcMar>
              <w:top w:type="dxa" w:w="70"/>
              <w:left w:type="dxa" w:w="110"/>
              <w:bottom w:type="dxa" w:w="70"/>
              <w:right w:type="dxa" w:w="110"/>
            </w:tcMar>
            <w:vAlign w:val="center"/>
          </w:tcPr>
          <w:p>
            <w:pPr>
              <w:spacing w:after="0"/>
            </w:pPr>
            <w:r>
              <w:rPr>
                <w:b w:val="false"/>
                <w:bCs w:val="false"/>
                <w:sz w:val="19"/>
                <w:szCs w:val="19"/>
              </w:rPr>
              <w:t xml:space="preserve">If-Modified-Since onde a fonte aceita: o que não mudou volta 304, sem corpo (TSE)</w:t>
            </w:r>
          </w:p>
        </w:tc>
      </w:tr>
      <w:tr>
        <w:trPr>
          <w:cantSplit/>
        </w:trPr>
        <w:tc>
          <w:tcPr>
            <w:tcW w:type="dxa" w:w="2600"/>
            <w:shd w:fill="FFFFFF" w:val="clear"/>
            <w:tcMar>
              <w:top w:type="dxa" w:w="70"/>
              <w:left w:type="dxa" w:w="110"/>
              <w:bottom w:type="dxa" w:w="70"/>
              <w:right w:type="dxa" w:w="110"/>
            </w:tcMar>
            <w:vAlign w:val="center"/>
          </w:tcPr>
          <w:p>
            <w:pPr>
              <w:spacing w:after="0"/>
            </w:pPr>
            <w:r>
              <w:rPr>
                <w:b w:val="false"/>
                <w:bCs w:val="false"/>
                <w:sz w:val="19"/>
                <w:szCs w:val="19"/>
              </w:rPr>
              <w:t xml:space="preserve">Arquivo grande retomável</w:t>
            </w:r>
          </w:p>
        </w:tc>
        <w:tc>
          <w:tcPr>
            <w:tcW w:type="dxa" w:w="7000"/>
            <w:shd w:fill="FFFFFF" w:val="clear"/>
            <w:tcMar>
              <w:top w:type="dxa" w:w="70"/>
              <w:left w:type="dxa" w:w="110"/>
              <w:bottom w:type="dxa" w:w="70"/>
              <w:right w:type="dxa" w:w="110"/>
            </w:tcMar>
            <w:vAlign w:val="center"/>
          </w:tcPr>
          <w:p>
            <w:pPr>
              <w:spacing w:after="0"/>
            </w:pPr>
            <w:r>
              <w:rPr>
                <w:b w:val="false"/>
                <w:bCs w:val="false"/>
                <w:sz w:val="19"/>
                <w:szCs w:val="19"/>
              </w:rPr>
              <w:t xml:space="preserve">Range e If-Range: queda de conexão continua de onde parou, sem rebaixar gigabytes (ADR-021)</w:t>
            </w:r>
          </w:p>
        </w:tc>
      </w:tr>
    </w:tbl>
    <w:p>
      <w:pPr>
        <w:pStyle w:val="Heading1"/>
        <w:keepNext/>
        <w:keepLines/>
        <w:spacing w:after="160" w:before="380"/>
      </w:pPr>
      <w:bookmarkStart w:name="_Toc21" w:id="21"/>
      <w:r>
        <w:t xml:space="preserve">6. Matriz de cobertura esperada por fase</w:t>
      </w:r>
      <w:bookmarkEnd w:id="21"/>
    </w:p>
    <w:tbl>
      <w:tblPr>
        <w:tblW w:type="dxa" w:w="9600"/>
        <w:tblBorders>
          <w:top w:val="single" w:color="BFBFBF" w:sz="4"/>
          <w:left w:val="single" w:color="BFBFBF" w:sz="4"/>
          <w:bottom w:val="single" w:color="BFBFBF" w:sz="4"/>
          <w:right w:val="single" w:color="BFBFBF" w:sz="4"/>
          <w:insideH w:val="single" w:color="D9D9D9" w:sz="2"/>
          <w:insideV w:val="single" w:color="D9D9D9" w:sz="2"/>
        </w:tblBorders>
      </w:tblPr>
      <w:tblGrid>
        <w:gridCol w:w="1300"/>
        <w:gridCol w:w="4300"/>
        <w:gridCol w:w="4000"/>
      </w:tblGrid>
      <w:tr>
        <w:trPr>
          <w:tblHeader/>
        </w:trPr>
        <w:tc>
          <w:tcPr>
            <w:tcW w:type="dxa" w:w="1300"/>
            <w:shd w:fill="1F3864" w:val="clear"/>
            <w:tcMar>
              <w:top w:type="dxa" w:w="80"/>
              <w:left w:type="dxa" w:w="110"/>
              <w:bottom w:type="dxa" w:w="80"/>
              <w:right w:type="dxa" w:w="110"/>
            </w:tcMar>
            <w:vAlign w:val="center"/>
          </w:tcPr>
          <w:p>
            <w:pPr>
              <w:spacing w:after="0"/>
            </w:pPr>
            <w:r>
              <w:rPr>
                <w:b/>
                <w:bCs/>
                <w:color w:val="FFFFFF"/>
                <w:sz w:val="19"/>
                <w:szCs w:val="19"/>
              </w:rPr>
              <w:t xml:space="preserve">Fase</w:t>
            </w:r>
          </w:p>
        </w:tc>
        <w:tc>
          <w:tcPr>
            <w:tcW w:type="dxa" w:w="4300"/>
            <w:shd w:fill="1F3864" w:val="clear"/>
            <w:tcMar>
              <w:top w:type="dxa" w:w="80"/>
              <w:left w:type="dxa" w:w="110"/>
              <w:bottom w:type="dxa" w:w="80"/>
              <w:right w:type="dxa" w:w="110"/>
            </w:tcMar>
            <w:vAlign w:val="center"/>
          </w:tcPr>
          <w:p>
            <w:pPr>
              <w:spacing w:after="0"/>
            </w:pPr>
            <w:r>
              <w:rPr>
                <w:b/>
                <w:bCs/>
                <w:color w:val="FFFFFF"/>
                <w:sz w:val="19"/>
                <w:szCs w:val="19"/>
              </w:rPr>
              <w:t xml:space="preserve">Fontes integradas</w:t>
            </w:r>
          </w:p>
        </w:tc>
        <w:tc>
          <w:tcPr>
            <w:tcW w:type="dxa" w:w="4000"/>
            <w:shd w:fill="1F3864" w:val="clear"/>
            <w:tcMar>
              <w:top w:type="dxa" w:w="80"/>
              <w:left w:type="dxa" w:w="110"/>
              <w:bottom w:type="dxa" w:w="80"/>
              <w:right w:type="dxa" w:w="110"/>
            </w:tcMar>
            <w:vAlign w:val="center"/>
          </w:tcPr>
          <w:p>
            <w:pPr>
              <w:spacing w:after="0"/>
            </w:pPr>
            <w:r>
              <w:rPr>
                <w:b/>
                <w:bCs/>
                <w:color w:val="FFFFFF"/>
                <w:sz w:val="19"/>
                <w:szCs w:val="19"/>
              </w:rPr>
              <w:t xml:space="preserve">Cobertura resultante</w:t>
            </w:r>
          </w:p>
        </w:tc>
      </w:tr>
      <w:tr>
        <w:trPr>
          <w:cantSplit/>
        </w:trPr>
        <w:tc>
          <w:tcPr>
            <w:tcW w:type="dxa" w:w="1300"/>
            <w:shd w:fill="FFFFFF" w:val="clear"/>
            <w:tcMar>
              <w:top w:type="dxa" w:w="70"/>
              <w:left w:type="dxa" w:w="110"/>
              <w:bottom w:type="dxa" w:w="70"/>
              <w:right w:type="dxa" w:w="110"/>
            </w:tcMar>
            <w:vAlign w:val="center"/>
          </w:tcPr>
          <w:p>
            <w:pPr>
              <w:spacing w:after="0"/>
            </w:pPr>
            <w:r>
              <w:rPr>
                <w:b w:val="false"/>
                <w:bCs w:val="false"/>
                <w:sz w:val="19"/>
                <w:szCs w:val="19"/>
              </w:rPr>
              <w:t xml:space="preserve">Fase 1</w:t>
            </w:r>
          </w:p>
        </w:tc>
        <w:tc>
          <w:tcPr>
            <w:tcW w:type="dxa" w:w="4300"/>
            <w:shd w:fill="FFFFFF" w:val="clear"/>
            <w:tcMar>
              <w:top w:type="dxa" w:w="70"/>
              <w:left w:type="dxa" w:w="110"/>
              <w:bottom w:type="dxa" w:w="70"/>
              <w:right w:type="dxa" w:w="110"/>
            </w:tcMar>
            <w:vAlign w:val="center"/>
          </w:tcPr>
          <w:p>
            <w:pPr>
              <w:spacing w:after="0"/>
            </w:pPr>
            <w:r>
              <w:rPr>
                <w:b w:val="false"/>
                <w:bCs w:val="false"/>
                <w:sz w:val="19"/>
                <w:szCs w:val="19"/>
              </w:rPr>
              <w:t xml:space="preserve">PNCP, SICONFI, CGU, Receita Federal, IBGE</w:t>
            </w:r>
          </w:p>
        </w:tc>
        <w:tc>
          <w:tcPr>
            <w:tcW w:type="dxa" w:w="4000"/>
            <w:shd w:fill="FFFFFF" w:val="clear"/>
            <w:tcMar>
              <w:top w:type="dxa" w:w="70"/>
              <w:left w:type="dxa" w:w="110"/>
              <w:bottom w:type="dxa" w:w="70"/>
              <w:right w:type="dxa" w:w="110"/>
            </w:tcMar>
            <w:vAlign w:val="center"/>
          </w:tcPr>
          <w:p>
            <w:pPr>
              <w:spacing w:after="0"/>
            </w:pPr>
            <w:r>
              <w:rPr>
                <w:b w:val="false"/>
                <w:bCs w:val="false"/>
                <w:sz w:val="19"/>
                <w:szCs w:val="19"/>
              </w:rPr>
              <w:t xml:space="preserve">Contratações e dados fiscais de alcance nacional, limitados ao que os entes efetivamente enviam</w:t>
            </w:r>
          </w:p>
        </w:tc>
      </w:tr>
      <w:tr>
        <w:trPr>
          <w:cantSplit/>
        </w:trPr>
        <w:tc>
          <w:tcPr>
            <w:tcW w:type="dxa" w:w="1300"/>
            <w:shd w:fill="F2F2F2" w:val="clear"/>
            <w:tcMar>
              <w:top w:type="dxa" w:w="70"/>
              <w:left w:type="dxa" w:w="110"/>
              <w:bottom w:type="dxa" w:w="70"/>
              <w:right w:type="dxa" w:w="110"/>
            </w:tcMar>
            <w:vAlign w:val="center"/>
          </w:tcPr>
          <w:p>
            <w:pPr>
              <w:spacing w:after="0"/>
            </w:pPr>
            <w:r>
              <w:rPr>
                <w:b w:val="false"/>
                <w:bCs w:val="false"/>
                <w:sz w:val="19"/>
                <w:szCs w:val="19"/>
              </w:rPr>
              <w:t xml:space="preserve">Fase 2</w:t>
            </w:r>
          </w:p>
        </w:tc>
        <w:tc>
          <w:tcPr>
            <w:tcW w:type="dxa" w:w="4300"/>
            <w:shd w:fill="F2F2F2" w:val="clear"/>
            <w:tcMar>
              <w:top w:type="dxa" w:w="70"/>
              <w:left w:type="dxa" w:w="110"/>
              <w:bottom w:type="dxa" w:w="70"/>
              <w:right w:type="dxa" w:w="110"/>
            </w:tcMar>
            <w:vAlign w:val="center"/>
          </w:tcPr>
          <w:p>
            <w:pPr>
              <w:spacing w:after="0"/>
            </w:pPr>
            <w:r>
              <w:rPr>
                <w:b w:val="false"/>
                <w:bCs w:val="false"/>
                <w:sz w:val="19"/>
                <w:szCs w:val="19"/>
              </w:rPr>
              <w:t xml:space="preserve">Compras.gov (catálogos e preços de referência)</w:t>
            </w:r>
          </w:p>
        </w:tc>
        <w:tc>
          <w:tcPr>
            <w:tcW w:type="dxa" w:w="4000"/>
            <w:shd w:fill="F2F2F2" w:val="clear"/>
            <w:tcMar>
              <w:top w:type="dxa" w:w="70"/>
              <w:left w:type="dxa" w:w="110"/>
              <w:bottom w:type="dxa" w:w="70"/>
              <w:right w:type="dxa" w:w="110"/>
            </w:tcMar>
            <w:vAlign w:val="center"/>
          </w:tcPr>
          <w:p>
            <w:pPr>
              <w:spacing w:after="0"/>
            </w:pPr>
            <w:r>
              <w:rPr>
                <w:b w:val="false"/>
                <w:bCs w:val="false"/>
                <w:sz w:val="19"/>
                <w:szCs w:val="19"/>
              </w:rPr>
              <w:t xml:space="preserve">Normalização de itens e linha de base de preço, habilitando as regras de sobrepreço</w:t>
            </w:r>
          </w:p>
        </w:tc>
      </w:tr>
      <w:tr>
        <w:trPr>
          <w:cantSplit/>
        </w:trPr>
        <w:tc>
          <w:tcPr>
            <w:tcW w:type="dxa" w:w="1300"/>
            <w:shd w:fill="FFFFFF" w:val="clear"/>
            <w:tcMar>
              <w:top w:type="dxa" w:w="70"/>
              <w:left w:type="dxa" w:w="110"/>
              <w:bottom w:type="dxa" w:w="70"/>
              <w:right w:type="dxa" w:w="110"/>
            </w:tcMar>
            <w:vAlign w:val="center"/>
          </w:tcPr>
          <w:p>
            <w:pPr>
              <w:spacing w:after="0"/>
            </w:pPr>
            <w:r>
              <w:rPr>
                <w:b w:val="false"/>
                <w:bCs w:val="false"/>
                <w:sz w:val="19"/>
                <w:szCs w:val="19"/>
              </w:rPr>
              <w:t xml:space="preserve">Fase 3</w:t>
            </w:r>
          </w:p>
        </w:tc>
        <w:tc>
          <w:tcPr>
            <w:tcW w:type="dxa" w:w="4300"/>
            <w:shd w:fill="FFFFFF" w:val="clear"/>
            <w:tcMar>
              <w:top w:type="dxa" w:w="70"/>
              <w:left w:type="dxa" w:w="110"/>
              <w:bottom w:type="dxa" w:w="70"/>
              <w:right w:type="dxa" w:w="110"/>
            </w:tcMar>
            <w:vAlign w:val="center"/>
          </w:tcPr>
          <w:p>
            <w:pPr>
              <w:spacing w:after="0"/>
            </w:pPr>
            <w:r>
              <w:rPr>
                <w:b w:val="false"/>
                <w:bCs w:val="false"/>
                <w:sz w:val="19"/>
                <w:szCs w:val="19"/>
              </w:rPr>
              <w:t xml:space="preserve">27 estados e tribunais de contas</w:t>
            </w:r>
          </w:p>
        </w:tc>
        <w:tc>
          <w:tcPr>
            <w:tcW w:type="dxa" w:w="4000"/>
            <w:shd w:fill="FFFFFF" w:val="clear"/>
            <w:tcMar>
              <w:top w:type="dxa" w:w="70"/>
              <w:left w:type="dxa" w:w="110"/>
              <w:bottom w:type="dxa" w:w="70"/>
              <w:right w:type="dxa" w:w="110"/>
            </w:tcMar>
            <w:vAlign w:val="center"/>
          </w:tcPr>
          <w:p>
            <w:pPr>
              <w:spacing w:after="0"/>
            </w:pPr>
            <w:r>
              <w:rPr>
                <w:b w:val="false"/>
                <w:bCs w:val="false"/>
                <w:sz w:val="19"/>
                <w:szCs w:val="19"/>
              </w:rPr>
              <w:t xml:space="preserve">Detalhamento estadual e cobertura indireta de municípios via jurisdição dos tribunais</w:t>
            </w:r>
          </w:p>
        </w:tc>
      </w:tr>
      <w:tr>
        <w:trPr>
          <w:cantSplit/>
        </w:trPr>
        <w:tc>
          <w:tcPr>
            <w:tcW w:type="dxa" w:w="1300"/>
            <w:shd w:fill="F2F2F2" w:val="clear"/>
            <w:tcMar>
              <w:top w:type="dxa" w:w="70"/>
              <w:left w:type="dxa" w:w="110"/>
              <w:bottom w:type="dxa" w:w="70"/>
              <w:right w:type="dxa" w:w="110"/>
            </w:tcMar>
            <w:vAlign w:val="center"/>
          </w:tcPr>
          <w:p>
            <w:pPr>
              <w:spacing w:after="0"/>
            </w:pPr>
            <w:r>
              <w:rPr>
                <w:b w:val="false"/>
                <w:bCs w:val="false"/>
                <w:sz w:val="19"/>
                <w:szCs w:val="19"/>
              </w:rPr>
              <w:t xml:space="preserve">Fase 4</w:t>
            </w:r>
          </w:p>
        </w:tc>
        <w:tc>
          <w:tcPr>
            <w:tcW w:type="dxa" w:w="4300"/>
            <w:shd w:fill="F2F2F2" w:val="clear"/>
            <w:tcMar>
              <w:top w:type="dxa" w:w="70"/>
              <w:left w:type="dxa" w:w="110"/>
              <w:bottom w:type="dxa" w:w="70"/>
              <w:right w:type="dxa" w:w="110"/>
            </w:tcMar>
            <w:vAlign w:val="center"/>
          </w:tcPr>
          <w:p>
            <w:pPr>
              <w:spacing w:after="0"/>
            </w:pPr>
            <w:r>
              <w:rPr>
                <w:b w:val="false"/>
                <w:bCs w:val="false"/>
                <w:sz w:val="19"/>
                <w:szCs w:val="19"/>
              </w:rPr>
              <w:t xml:space="preserve">Famílias de plataforma municipal e cauda longa</w:t>
            </w:r>
          </w:p>
        </w:tc>
        <w:tc>
          <w:tcPr>
            <w:tcW w:type="dxa" w:w="4000"/>
            <w:shd w:fill="F2F2F2" w:val="clear"/>
            <w:tcMar>
              <w:top w:type="dxa" w:w="70"/>
              <w:left w:type="dxa" w:w="110"/>
              <w:bottom w:type="dxa" w:w="70"/>
              <w:right w:type="dxa" w:w="110"/>
            </w:tcMar>
            <w:vAlign w:val="center"/>
          </w:tcPr>
          <w:p>
            <w:pPr>
              <w:spacing w:after="0"/>
            </w:pPr>
            <w:r>
              <w:rPr>
                <w:b w:val="false"/>
                <w:bCs w:val="false"/>
                <w:sz w:val="19"/>
                <w:szCs w:val="19"/>
              </w:rPr>
              <w:t xml:space="preserve">Preenchimento de lacunas e detalhe local não disponível nas bases federais</w:t>
            </w:r>
          </w:p>
        </w:tc>
      </w:tr>
      <w:tr>
        <w:trPr>
          <w:cantSplit/>
        </w:trPr>
        <w:tc>
          <w:tcPr>
            <w:tcW w:type="dxa" w:w="1300"/>
            <w:shd w:fill="FFFFFF" w:val="clear"/>
            <w:tcMar>
              <w:top w:type="dxa" w:w="70"/>
              <w:left w:type="dxa" w:w="110"/>
              <w:bottom w:type="dxa" w:w="70"/>
              <w:right w:type="dxa" w:w="110"/>
            </w:tcMar>
            <w:vAlign w:val="center"/>
          </w:tcPr>
          <w:p>
            <w:pPr>
              <w:spacing w:after="0"/>
            </w:pPr>
            <w:r>
              <w:rPr>
                <w:b w:val="false"/>
                <w:bCs w:val="false"/>
                <w:sz w:val="19"/>
                <w:szCs w:val="19"/>
              </w:rPr>
              <w:t xml:space="preserve">Fase 5</w:t>
            </w:r>
          </w:p>
        </w:tc>
        <w:tc>
          <w:tcPr>
            <w:tcW w:type="dxa" w:w="4300"/>
            <w:shd w:fill="FFFFFF" w:val="clear"/>
            <w:tcMar>
              <w:top w:type="dxa" w:w="70"/>
              <w:left w:type="dxa" w:w="110"/>
              <w:bottom w:type="dxa" w:w="70"/>
              <w:right w:type="dxa" w:w="110"/>
            </w:tcMar>
            <w:vAlign w:val="center"/>
          </w:tcPr>
          <w:p>
            <w:pPr>
              <w:spacing w:after="0"/>
            </w:pPr>
            <w:r>
              <w:rPr>
                <w:b w:val="false"/>
                <w:bCs w:val="false"/>
                <w:sz w:val="19"/>
                <w:szCs w:val="19"/>
              </w:rPr>
              <w:t xml:space="preserve">Consolidação e reavaliação</w:t>
            </w:r>
          </w:p>
        </w:tc>
        <w:tc>
          <w:tcPr>
            <w:tcW w:type="dxa" w:w="4000"/>
            <w:shd w:fill="FFFFFF" w:val="clear"/>
            <w:tcMar>
              <w:top w:type="dxa" w:w="70"/>
              <w:left w:type="dxa" w:w="110"/>
              <w:bottom w:type="dxa" w:w="70"/>
              <w:right w:type="dxa" w:w="110"/>
            </w:tcMar>
            <w:vAlign w:val="center"/>
          </w:tcPr>
          <w:p>
            <w:pPr>
              <w:spacing w:after="0"/>
            </w:pPr>
            <w:r>
              <w:rPr>
                <w:b w:val="false"/>
                <w:bCs w:val="false"/>
                <w:sz w:val="19"/>
                <w:szCs w:val="19"/>
              </w:rPr>
              <w:t xml:space="preserve">Índice de conformidade publicado para todos os entes cadastrados</w:t>
            </w:r>
          </w:p>
        </w:tc>
      </w:tr>
    </w:tbl>
    <w:p>
      <w:pPr>
        <w:pStyle w:val="Heading1"/>
        <w:keepNext/>
        <w:keepLines/>
        <w:spacing w:after="160" w:before="380"/>
      </w:pPr>
      <w:bookmarkStart w:name="_Toc22" w:id="22"/>
      <w:r>
        <w:t xml:space="preserve">7. Situação da integração (outubro de 2026)</w:t>
      </w:r>
      <w:bookmarkEnd w:id="22"/>
    </w:p>
    <w:tbl>
      <w:tblPr>
        <w:tblW w:type="dxa" w:w="9600"/>
        <w:tblBorders>
          <w:top w:val="single" w:color="BFBFBF" w:sz="4"/>
          <w:left w:val="single" w:color="BFBFBF" w:sz="4"/>
          <w:bottom w:val="single" w:color="BFBFBF" w:sz="4"/>
          <w:right w:val="single" w:color="BFBFBF" w:sz="4"/>
          <w:insideH w:val="single" w:color="D9D9D9" w:sz="2"/>
          <w:insideV w:val="single" w:color="D9D9D9" w:sz="2"/>
        </w:tblBorders>
      </w:tblPr>
      <w:tblGrid>
        <w:gridCol w:w="3000"/>
        <w:gridCol w:w="2400"/>
        <w:gridCol w:w="4200"/>
      </w:tblGrid>
      <w:tr>
        <w:trPr>
          <w:tblHeader/>
        </w:trPr>
        <w:tc>
          <w:tcPr>
            <w:tcW w:type="dxa" w:w="3000"/>
            <w:shd w:fill="1F3864" w:val="clear"/>
            <w:tcMar>
              <w:top w:type="dxa" w:w="80"/>
              <w:left w:type="dxa" w:w="110"/>
              <w:bottom w:type="dxa" w:w="80"/>
              <w:right w:type="dxa" w:w="110"/>
            </w:tcMar>
            <w:vAlign w:val="center"/>
          </w:tcPr>
          <w:p>
            <w:pPr>
              <w:spacing w:after="0"/>
            </w:pPr>
            <w:r>
              <w:rPr>
                <w:b/>
                <w:bCs/>
                <w:color w:val="FFFFFF"/>
                <w:sz w:val="19"/>
                <w:szCs w:val="19"/>
              </w:rPr>
              <w:t xml:space="preserve">Fonte</w:t>
            </w:r>
          </w:p>
        </w:tc>
        <w:tc>
          <w:tcPr>
            <w:tcW w:type="dxa" w:w="2400"/>
            <w:shd w:fill="1F3864" w:val="clear"/>
            <w:tcMar>
              <w:top w:type="dxa" w:w="80"/>
              <w:left w:type="dxa" w:w="110"/>
              <w:bottom w:type="dxa" w:w="80"/>
              <w:right w:type="dxa" w:w="110"/>
            </w:tcMar>
            <w:vAlign w:val="center"/>
          </w:tcPr>
          <w:p>
            <w:pPr>
              <w:spacing w:after="0"/>
            </w:pPr>
            <w:r>
              <w:rPr>
                <w:b/>
                <w:bCs/>
                <w:color w:val="FFFFFF"/>
                <w:sz w:val="19"/>
                <w:szCs w:val="19"/>
              </w:rPr>
              <w:t xml:space="preserve">Situação</w:t>
            </w:r>
          </w:p>
        </w:tc>
        <w:tc>
          <w:tcPr>
            <w:tcW w:type="dxa" w:w="4200"/>
            <w:shd w:fill="1F3864" w:val="clear"/>
            <w:tcMar>
              <w:top w:type="dxa" w:w="80"/>
              <w:left w:type="dxa" w:w="110"/>
              <w:bottom w:type="dxa" w:w="80"/>
              <w:right w:type="dxa" w:w="110"/>
            </w:tcMar>
            <w:vAlign w:val="center"/>
          </w:tcPr>
          <w:p>
            <w:pPr>
              <w:spacing w:after="0"/>
            </w:pPr>
            <w:r>
              <w:rPr>
                <w:b/>
                <w:bCs/>
                <w:color w:val="FFFFFF"/>
                <w:sz w:val="19"/>
                <w:szCs w:val="19"/>
              </w:rPr>
              <w:t xml:space="preserve">Observação</w:t>
            </w:r>
          </w:p>
        </w:tc>
      </w:tr>
      <w:tr>
        <w:trPr>
          <w:cantSplit/>
        </w:trPr>
        <w:tc>
          <w:tcPr>
            <w:tcW w:type="dxa" w:w="3000"/>
            <w:shd w:fill="FFFFFF" w:val="clear"/>
            <w:tcMar>
              <w:top w:type="dxa" w:w="70"/>
              <w:left w:type="dxa" w:w="110"/>
              <w:bottom w:type="dxa" w:w="70"/>
              <w:right w:type="dxa" w:w="110"/>
            </w:tcMar>
            <w:vAlign w:val="center"/>
          </w:tcPr>
          <w:p>
            <w:pPr>
              <w:spacing w:after="0"/>
            </w:pPr>
            <w:r>
              <w:rPr>
                <w:b w:val="false"/>
                <w:bCs w:val="false"/>
                <w:sz w:val="17"/>
                <w:szCs w:val="17"/>
              </w:rPr>
              <w:t xml:space="preserve">PNCP — contratações, contratos e atas (publicação e atualização)</w:t>
            </w:r>
          </w:p>
        </w:tc>
        <w:tc>
          <w:tcPr>
            <w:tcW w:type="dxa" w:w="2400"/>
            <w:shd w:fill="FFFFFF" w:val="clear"/>
            <w:tcMar>
              <w:top w:type="dxa" w:w="70"/>
              <w:left w:type="dxa" w:w="110"/>
              <w:bottom w:type="dxa" w:w="70"/>
              <w:right w:type="dxa" w:w="110"/>
            </w:tcMar>
            <w:vAlign w:val="center"/>
          </w:tcPr>
          <w:p>
            <w:pPr>
              <w:spacing w:after="0"/>
            </w:pPr>
            <w:r>
              <w:rPr>
                <w:b w:val="false"/>
                <w:bCs w:val="false"/>
                <w:sz w:val="17"/>
                <w:szCs w:val="17"/>
              </w:rPr>
              <w:t xml:space="preserve">Integrado</w:t>
            </w:r>
          </w:p>
        </w:tc>
        <w:tc>
          <w:tcPr>
            <w:tcW w:type="dxa" w:w="4200"/>
            <w:shd w:fill="FFFFFF" w:val="clear"/>
            <w:tcMar>
              <w:top w:type="dxa" w:w="70"/>
              <w:left w:type="dxa" w:w="110"/>
              <w:bottom w:type="dxa" w:w="70"/>
              <w:right w:type="dxa" w:w="110"/>
            </w:tcMar>
            <w:vAlign w:val="center"/>
          </w:tcPr>
          <w:p>
            <w:pPr>
              <w:spacing w:after="0"/>
            </w:pPr>
            <w:r>
              <w:rPr>
                <w:b w:val="false"/>
                <w:bCs w:val="false"/>
                <w:sz w:val="17"/>
                <w:szCs w:val="17"/>
              </w:rPr>
              <w:t xml:space="preserve">Coleta, bronze e normalização para a silver no pipeline padrão</w:t>
            </w:r>
          </w:p>
        </w:tc>
      </w:tr>
      <w:tr>
        <w:trPr>
          <w:cantSplit/>
        </w:trPr>
        <w:tc>
          <w:tcPr>
            <w:tcW w:type="dxa" w:w="3000"/>
            <w:shd w:fill="F2F2F2" w:val="clear"/>
            <w:tcMar>
              <w:top w:type="dxa" w:w="70"/>
              <w:left w:type="dxa" w:w="110"/>
              <w:bottom w:type="dxa" w:w="70"/>
              <w:right w:type="dxa" w:w="110"/>
            </w:tcMar>
            <w:vAlign w:val="center"/>
          </w:tcPr>
          <w:p>
            <w:pPr>
              <w:spacing w:after="0"/>
            </w:pPr>
            <w:r>
              <w:rPr>
                <w:b w:val="false"/>
                <w:bCs w:val="false"/>
                <w:sz w:val="17"/>
                <w:szCs w:val="17"/>
              </w:rPr>
              <w:t xml:space="preserve">PNCP — itens e resultados</w:t>
            </w:r>
          </w:p>
        </w:tc>
        <w:tc>
          <w:tcPr>
            <w:tcW w:type="dxa" w:w="2400"/>
            <w:shd w:fill="F2F2F2" w:val="clear"/>
            <w:tcMar>
              <w:top w:type="dxa" w:w="70"/>
              <w:left w:type="dxa" w:w="110"/>
              <w:bottom w:type="dxa" w:w="70"/>
              <w:right w:type="dxa" w:w="110"/>
            </w:tcMar>
            <w:vAlign w:val="center"/>
          </w:tcPr>
          <w:p>
            <w:pPr>
              <w:spacing w:after="0"/>
            </w:pPr>
            <w:r>
              <w:rPr>
                <w:b w:val="false"/>
                <w:bCs w:val="false"/>
                <w:sz w:val="17"/>
                <w:szCs w:val="17"/>
              </w:rPr>
              <w:t xml:space="preserve">Integrado sob demanda</w:t>
            </w:r>
          </w:p>
        </w:tc>
        <w:tc>
          <w:tcPr>
            <w:tcW w:type="dxa" w:w="4200"/>
            <w:shd w:fill="F2F2F2" w:val="clear"/>
            <w:tcMar>
              <w:top w:type="dxa" w:w="70"/>
              <w:left w:type="dxa" w:w="110"/>
              <w:bottom w:type="dxa" w:w="70"/>
              <w:right w:type="dxa" w:w="110"/>
            </w:tcMar>
            <w:vAlign w:val="center"/>
          </w:tcPr>
          <w:p>
            <w:pPr>
              <w:spacing w:after="0"/>
            </w:pPr>
            <w:r>
              <w:rPr>
                <w:b w:val="false"/>
                <w:bCs w:val="false"/>
                <w:sz w:val="17"/>
                <w:szCs w:val="17"/>
              </w:rPr>
              <w:t xml:space="preserve">lumen coletar pncp_itens --objeto busca os itens só dos processos da silver que interessam (regra A-05)</w:t>
            </w:r>
          </w:p>
        </w:tc>
      </w:tr>
      <w:tr>
        <w:trPr>
          <w:cantSplit/>
        </w:trPr>
        <w:tc>
          <w:tcPr>
            <w:tcW w:type="dxa" w:w="3000"/>
            <w:shd w:fill="FFFFFF" w:val="clear"/>
            <w:tcMar>
              <w:top w:type="dxa" w:w="70"/>
              <w:left w:type="dxa" w:w="110"/>
              <w:bottom w:type="dxa" w:w="70"/>
              <w:right w:type="dxa" w:w="110"/>
            </w:tcMar>
            <w:vAlign w:val="center"/>
          </w:tcPr>
          <w:p>
            <w:pPr>
              <w:spacing w:after="0"/>
            </w:pPr>
            <w:r>
              <w:rPr>
                <w:b w:val="false"/>
                <w:bCs w:val="false"/>
                <w:sz w:val="17"/>
                <w:szCs w:val="17"/>
              </w:rPr>
              <w:t xml:space="preserve">SICONFI — entes e extrato de entregas</w:t>
            </w:r>
          </w:p>
        </w:tc>
        <w:tc>
          <w:tcPr>
            <w:tcW w:type="dxa" w:w="2400"/>
            <w:shd w:fill="FFFFFF" w:val="clear"/>
            <w:tcMar>
              <w:top w:type="dxa" w:w="70"/>
              <w:left w:type="dxa" w:w="110"/>
              <w:bottom w:type="dxa" w:w="70"/>
              <w:right w:type="dxa" w:w="110"/>
            </w:tcMar>
            <w:vAlign w:val="center"/>
          </w:tcPr>
          <w:p>
            <w:pPr>
              <w:spacing w:after="0"/>
            </w:pPr>
            <w:r>
              <w:rPr>
                <w:b w:val="false"/>
                <w:bCs w:val="false"/>
                <w:sz w:val="17"/>
                <w:szCs w:val="17"/>
              </w:rPr>
              <w:t xml:space="preserve">Integrado</w:t>
            </w:r>
          </w:p>
        </w:tc>
        <w:tc>
          <w:tcPr>
            <w:tcW w:type="dxa" w:w="4200"/>
            <w:shd w:fill="FFFFFF" w:val="clear"/>
            <w:tcMar>
              <w:top w:type="dxa" w:w="70"/>
              <w:left w:type="dxa" w:w="110"/>
              <w:bottom w:type="dxa" w:w="70"/>
              <w:right w:type="dxa" w:w="110"/>
            </w:tcMar>
            <w:vAlign w:val="center"/>
          </w:tcPr>
          <w:p>
            <w:pPr>
              <w:spacing w:after="0"/>
            </w:pPr>
            <w:r>
              <w:rPr>
                <w:b w:val="false"/>
                <w:bCs w:val="false"/>
                <w:sz w:val="17"/>
                <w:szCs w:val="17"/>
              </w:rPr>
              <w:t xml:space="preserve">Base do cadastro e da conformidade (família I)</w:t>
            </w:r>
          </w:p>
        </w:tc>
      </w:tr>
      <w:tr>
        <w:trPr>
          <w:cantSplit/>
        </w:trPr>
        <w:tc>
          <w:tcPr>
            <w:tcW w:type="dxa" w:w="3000"/>
            <w:shd w:fill="F2F2F2" w:val="clear"/>
            <w:tcMar>
              <w:top w:type="dxa" w:w="70"/>
              <w:left w:type="dxa" w:w="110"/>
              <w:bottom w:type="dxa" w:w="70"/>
              <w:right w:type="dxa" w:w="110"/>
            </w:tcMar>
            <w:vAlign w:val="center"/>
          </w:tcPr>
          <w:p>
            <w:pPr>
              <w:spacing w:after="0"/>
            </w:pPr>
            <w:r>
              <w:rPr>
                <w:b w:val="false"/>
                <w:bCs w:val="false"/>
                <w:sz w:val="17"/>
                <w:szCs w:val="17"/>
              </w:rPr>
              <w:t xml:space="preserve">SICONFI — RREO, RGF e DCA</w:t>
            </w:r>
          </w:p>
        </w:tc>
        <w:tc>
          <w:tcPr>
            <w:tcW w:type="dxa" w:w="2400"/>
            <w:shd w:fill="F2F2F2" w:val="clear"/>
            <w:tcMar>
              <w:top w:type="dxa" w:w="70"/>
              <w:left w:type="dxa" w:w="110"/>
              <w:bottom w:type="dxa" w:w="70"/>
              <w:right w:type="dxa" w:w="110"/>
            </w:tcMar>
            <w:vAlign w:val="center"/>
          </w:tcPr>
          <w:p>
            <w:pPr>
              <w:spacing w:after="0"/>
            </w:pPr>
            <w:r>
              <w:rPr>
                <w:b w:val="false"/>
                <w:bCs w:val="false"/>
                <w:sz w:val="17"/>
                <w:szCs w:val="17"/>
              </w:rPr>
              <w:t xml:space="preserve">Conector e normalização prontos (LinhaDemonstrativo)</w:t>
            </w:r>
          </w:p>
        </w:tc>
        <w:tc>
          <w:tcPr>
            <w:tcW w:type="dxa" w:w="4200"/>
            <w:shd w:fill="F2F2F2" w:val="clear"/>
            <w:tcMar>
              <w:top w:type="dxa" w:w="70"/>
              <w:left w:type="dxa" w:w="110"/>
              <w:bottom w:type="dxa" w:w="70"/>
              <w:right w:type="dxa" w:w="110"/>
            </w:tcMar>
            <w:vAlign w:val="center"/>
          </w:tcPr>
          <w:p>
            <w:pPr>
              <w:spacing w:after="0"/>
            </w:pPr>
            <w:r>
              <w:rPr>
                <w:b w:val="false"/>
                <w:bCs w:val="false"/>
                <w:sz w:val="17"/>
                <w:szCs w:val="17"/>
              </w:rPr>
              <w:t xml:space="preserve">RCL de todos os entes (Anexo 03 do RREO) e despesa por função de todos os entes (Anexo I-E da DCA, ADR-041), coletadas todo dia, só as que faltam; demais anexos sob demanda</w:t>
            </w:r>
          </w:p>
        </w:tc>
      </w:tr>
      <w:tr>
        <w:trPr>
          <w:cantSplit/>
        </w:trPr>
        <w:tc>
          <w:tcPr>
            <w:tcW w:type="dxa" w:w="3000"/>
            <w:shd w:fill="FFFFFF" w:val="clear"/>
            <w:tcMar>
              <w:top w:type="dxa" w:w="70"/>
              <w:left w:type="dxa" w:w="110"/>
              <w:bottom w:type="dxa" w:w="70"/>
              <w:right w:type="dxa" w:w="110"/>
            </w:tcMar>
            <w:vAlign w:val="center"/>
          </w:tcPr>
          <w:p>
            <w:pPr>
              <w:spacing w:after="0"/>
            </w:pPr>
            <w:r>
              <w:rPr>
                <w:b w:val="false"/>
                <w:bCs w:val="false"/>
                <w:sz w:val="17"/>
                <w:szCs w:val="17"/>
              </w:rPr>
              <w:t xml:space="preserve">IBGE — localidades e população</w:t>
            </w:r>
          </w:p>
        </w:tc>
        <w:tc>
          <w:tcPr>
            <w:tcW w:type="dxa" w:w="2400"/>
            <w:shd w:fill="FFFFFF" w:val="clear"/>
            <w:tcMar>
              <w:top w:type="dxa" w:w="70"/>
              <w:left w:type="dxa" w:w="110"/>
              <w:bottom w:type="dxa" w:w="70"/>
              <w:right w:type="dxa" w:w="110"/>
            </w:tcMar>
            <w:vAlign w:val="center"/>
          </w:tcPr>
          <w:p>
            <w:pPr>
              <w:spacing w:after="0"/>
            </w:pPr>
            <w:r>
              <w:rPr>
                <w:b w:val="false"/>
                <w:bCs w:val="false"/>
                <w:sz w:val="17"/>
                <w:szCs w:val="17"/>
              </w:rPr>
              <w:t xml:space="preserve">Integrado</w:t>
            </w:r>
          </w:p>
        </w:tc>
        <w:tc>
          <w:tcPr>
            <w:tcW w:type="dxa" w:w="4200"/>
            <w:shd w:fill="FFFFFF" w:val="clear"/>
            <w:tcMar>
              <w:top w:type="dxa" w:w="70"/>
              <w:left w:type="dxa" w:w="110"/>
              <w:bottom w:type="dxa" w:w="70"/>
              <w:right w:type="dxa" w:w="110"/>
            </w:tcMar>
            <w:vAlign w:val="center"/>
          </w:tcPr>
          <w:p>
            <w:pPr>
              <w:spacing w:after="0"/>
            </w:pPr>
            <w:r>
              <w:rPr>
                <w:b w:val="false"/>
                <w:bCs w:val="false"/>
                <w:sz w:val="17"/>
                <w:szCs w:val="17"/>
              </w:rPr>
              <w:t xml:space="preserve">Cadastro de entes, população aplicada aos municípios</w:t>
            </w:r>
          </w:p>
        </w:tc>
      </w:tr>
      <w:tr>
        <w:trPr>
          <w:cantSplit/>
        </w:trPr>
        <w:tc>
          <w:tcPr>
            <w:tcW w:type="dxa" w:w="3000"/>
            <w:shd w:fill="F2F2F2" w:val="clear"/>
            <w:tcMar>
              <w:top w:type="dxa" w:w="70"/>
              <w:left w:type="dxa" w:w="110"/>
              <w:bottom w:type="dxa" w:w="70"/>
              <w:right w:type="dxa" w:w="110"/>
            </w:tcMar>
            <w:vAlign w:val="center"/>
          </w:tcPr>
          <w:p>
            <w:pPr>
              <w:spacing w:after="0"/>
            </w:pPr>
            <w:r>
              <w:rPr>
                <w:b w:val="false"/>
                <w:bCs w:val="false"/>
                <w:sz w:val="17"/>
                <w:szCs w:val="17"/>
              </w:rPr>
              <w:t xml:space="preserve">IBGE — malhas</w:t>
            </w:r>
          </w:p>
        </w:tc>
        <w:tc>
          <w:tcPr>
            <w:tcW w:type="dxa" w:w="2400"/>
            <w:shd w:fill="F2F2F2" w:val="clear"/>
            <w:tcMar>
              <w:top w:type="dxa" w:w="70"/>
              <w:left w:type="dxa" w:w="110"/>
              <w:bottom w:type="dxa" w:w="70"/>
              <w:right w:type="dxa" w:w="110"/>
            </w:tcMar>
            <w:vAlign w:val="center"/>
          </w:tcPr>
          <w:p>
            <w:pPr>
              <w:spacing w:after="0"/>
            </w:pPr>
            <w:r>
              <w:rPr>
                <w:b w:val="false"/>
                <w:bCs w:val="false"/>
                <w:sz w:val="17"/>
                <w:szCs w:val="17"/>
              </w:rPr>
              <w:t xml:space="preserve">Integrado (aba Eleições)</w:t>
            </w:r>
          </w:p>
        </w:tc>
        <w:tc>
          <w:tcPr>
            <w:tcW w:type="dxa" w:w="4200"/>
            <w:shd w:fill="F2F2F2" w:val="clear"/>
            <w:tcMar>
              <w:top w:type="dxa" w:w="70"/>
              <w:left w:type="dxa" w:w="110"/>
              <w:bottom w:type="dxa" w:w="70"/>
              <w:right w:type="dxa" w:w="110"/>
            </w:tcMar>
            <w:vAlign w:val="center"/>
          </w:tcPr>
          <w:p>
            <w:pPr>
              <w:spacing w:after="0"/>
            </w:pPr>
            <w:r>
              <w:rPr>
                <w:b w:val="false"/>
                <w:bCs w:val="false"/>
                <w:sz w:val="17"/>
                <w:szCs w:val="17"/>
              </w:rPr>
              <w:t xml:space="preserve">Mapa</w:t>
            </w:r>
          </w:p>
        </w:tc>
      </w:tr>
      <w:tr>
        <w:trPr>
          <w:cantSplit/>
        </w:trPr>
        <w:tc>
          <w:tcPr>
            <w:tcW w:type="dxa" w:w="3000"/>
            <w:shd w:fill="FFFFFF" w:val="clear"/>
            <w:tcMar>
              <w:top w:type="dxa" w:w="70"/>
              <w:left w:type="dxa" w:w="110"/>
              <w:bottom w:type="dxa" w:w="70"/>
              <w:right w:type="dxa" w:w="110"/>
            </w:tcMar>
            <w:vAlign w:val="center"/>
          </w:tcPr>
          <w:p>
            <w:pPr>
              <w:spacing w:after="0"/>
            </w:pPr>
            <w:r>
              <w:rPr>
                <w:b w:val="false"/>
                <w:bCs w:val="false"/>
                <w:sz w:val="17"/>
                <w:szCs w:val="17"/>
              </w:rPr>
              <w:t xml:space="preserve">TSE — resultados e dados abertos</w:t>
            </w:r>
          </w:p>
        </w:tc>
        <w:tc>
          <w:tcPr>
            <w:tcW w:type="dxa" w:w="2400"/>
            <w:shd w:fill="FFFFFF" w:val="clear"/>
            <w:tcMar>
              <w:top w:type="dxa" w:w="70"/>
              <w:left w:type="dxa" w:w="110"/>
              <w:bottom w:type="dxa" w:w="70"/>
              <w:right w:type="dxa" w:w="110"/>
            </w:tcMar>
            <w:vAlign w:val="center"/>
          </w:tcPr>
          <w:p>
            <w:pPr>
              <w:spacing w:after="0"/>
            </w:pPr>
            <w:r>
              <w:rPr>
                <w:b w:val="false"/>
                <w:bCs w:val="false"/>
                <w:sz w:val="17"/>
                <w:szCs w:val="17"/>
              </w:rPr>
              <w:t xml:space="preserve">Integrado (aba Eleições)</w:t>
            </w:r>
          </w:p>
        </w:tc>
        <w:tc>
          <w:tcPr>
            <w:tcW w:type="dxa" w:w="4200"/>
            <w:shd w:fill="FFFFFF" w:val="clear"/>
            <w:tcMar>
              <w:top w:type="dxa" w:w="70"/>
              <w:left w:type="dxa" w:w="110"/>
              <w:bottom w:type="dxa" w:w="70"/>
              <w:right w:type="dxa" w:w="110"/>
            </w:tcMar>
            <w:vAlign w:val="center"/>
          </w:tcPr>
          <w:p>
            <w:pPr>
              <w:spacing w:after="0"/>
            </w:pPr>
            <w:r>
              <w:rPr>
                <w:b w:val="false"/>
                <w:bCs w:val="false"/>
                <w:sz w:val="17"/>
                <w:szCs w:val="17"/>
              </w:rPr>
              <w:t xml:space="preserve">DOC-12</w:t>
            </w:r>
          </w:p>
        </w:tc>
      </w:tr>
      <w:tr>
        <w:trPr>
          <w:cantSplit/>
        </w:trPr>
        <w:tc>
          <w:tcPr>
            <w:tcW w:type="dxa" w:w="3000"/>
            <w:shd w:fill="F2F2F2" w:val="clear"/>
            <w:tcMar>
              <w:top w:type="dxa" w:w="70"/>
              <w:left w:type="dxa" w:w="110"/>
              <w:bottom w:type="dxa" w:w="70"/>
              <w:right w:type="dxa" w:w="110"/>
            </w:tcMar>
            <w:vAlign w:val="center"/>
          </w:tcPr>
          <w:p>
            <w:pPr>
              <w:spacing w:after="0"/>
            </w:pPr>
            <w:r>
              <w:rPr>
                <w:b w:val="false"/>
                <w:bCs w:val="false"/>
                <w:sz w:val="17"/>
                <w:szCs w:val="17"/>
              </w:rPr>
              <w:t xml:space="preserve">Portal da Transparência (CGU)</w:t>
            </w:r>
          </w:p>
        </w:tc>
        <w:tc>
          <w:tcPr>
            <w:tcW w:type="dxa" w:w="2400"/>
            <w:shd w:fill="F2F2F2" w:val="clear"/>
            <w:tcMar>
              <w:top w:type="dxa" w:w="70"/>
              <w:left w:type="dxa" w:w="110"/>
              <w:bottom w:type="dxa" w:w="70"/>
              <w:right w:type="dxa" w:w="110"/>
            </w:tcMar>
            <w:vAlign w:val="center"/>
          </w:tcPr>
          <w:p>
            <w:pPr>
              <w:spacing w:after="0"/>
            </w:pPr>
            <w:r>
              <w:rPr>
                <w:b w:val="false"/>
                <w:bCs w:val="false"/>
                <w:sz w:val="17"/>
                <w:szCs w:val="17"/>
              </w:rPr>
              <w:t xml:space="preserve">CEIS, CNEP e CEPIM em uso</w:t>
            </w:r>
          </w:p>
        </w:tc>
        <w:tc>
          <w:tcPr>
            <w:tcW w:type="dxa" w:w="4200"/>
            <w:shd w:fill="F2F2F2" w:val="clear"/>
            <w:tcMar>
              <w:top w:type="dxa" w:w="70"/>
              <w:left w:type="dxa" w:w="110"/>
              <w:bottom w:type="dxa" w:w="70"/>
              <w:right w:type="dxa" w:w="110"/>
            </w:tcMar>
            <w:vAlign w:val="center"/>
          </w:tcPr>
          <w:p>
            <w:pPr>
              <w:spacing w:after="0"/>
            </w:pPr>
            <w:r>
              <w:rPr>
                <w:b w:val="false"/>
                <w:bCs w:val="false"/>
                <w:sz w:val="17"/>
                <w:szCs w:val="17"/>
              </w:rPr>
              <w:t xml:space="preserve">Pelos arquivos de dados abertos, sem chave (ADR-030); despesas, convênios e emendas pendentes</w:t>
            </w:r>
          </w:p>
        </w:tc>
      </w:tr>
      <w:tr>
        <w:trPr>
          <w:cantSplit/>
        </w:trPr>
        <w:tc>
          <w:tcPr>
            <w:tcW w:type="dxa" w:w="3000"/>
            <w:shd w:fill="FFFFFF" w:val="clear"/>
            <w:tcMar>
              <w:top w:type="dxa" w:w="70"/>
              <w:left w:type="dxa" w:w="110"/>
              <w:bottom w:type="dxa" w:w="70"/>
              <w:right w:type="dxa" w:w="110"/>
            </w:tcMar>
            <w:vAlign w:val="center"/>
          </w:tcPr>
          <w:p>
            <w:pPr>
              <w:spacing w:after="0"/>
            </w:pPr>
            <w:r>
              <w:rPr>
                <w:b w:val="false"/>
                <w:bCs w:val="false"/>
                <w:sz w:val="17"/>
                <w:szCs w:val="17"/>
              </w:rPr>
              <w:t xml:space="preserve">Receita Federal — CNPJ</w:t>
            </w:r>
          </w:p>
        </w:tc>
        <w:tc>
          <w:tcPr>
            <w:tcW w:type="dxa" w:w="2400"/>
            <w:shd w:fill="FFFFFF" w:val="clear"/>
            <w:tcMar>
              <w:top w:type="dxa" w:w="70"/>
              <w:left w:type="dxa" w:w="110"/>
              <w:bottom w:type="dxa" w:w="70"/>
              <w:right w:type="dxa" w:w="110"/>
            </w:tcMar>
            <w:vAlign w:val="center"/>
          </w:tcPr>
          <w:p>
            <w:pPr>
              <w:spacing w:after="0"/>
            </w:pPr>
            <w:r>
              <w:rPr>
                <w:b w:val="false"/>
                <w:bCs w:val="false"/>
                <w:sz w:val="17"/>
                <w:szCs w:val="17"/>
              </w:rPr>
              <w:t xml:space="preserve">Pendente</w:t>
            </w:r>
          </w:p>
        </w:tc>
        <w:tc>
          <w:tcPr>
            <w:tcW w:type="dxa" w:w="4200"/>
            <w:shd w:fill="FFFFFF" w:val="clear"/>
            <w:tcMar>
              <w:top w:type="dxa" w:w="70"/>
              <w:left w:type="dxa" w:w="110"/>
              <w:bottom w:type="dxa" w:w="70"/>
              <w:right w:type="dxa" w:w="110"/>
            </w:tcMar>
            <w:vAlign w:val="center"/>
          </w:tcPr>
          <w:p>
            <w:pPr>
              <w:spacing w:after="0"/>
            </w:pPr>
            <w:r>
              <w:rPr>
                <w:b w:val="false"/>
                <w:bCs w:val="false"/>
                <w:sz w:val="17"/>
                <w:szCs w:val="17"/>
              </w:rPr>
              <w:t xml:space="preserve">Arquivos completos; base da família D</w:t>
            </w:r>
          </w:p>
        </w:tc>
      </w:tr>
      <w:tr>
        <w:trPr>
          <w:cantSplit/>
        </w:trPr>
        <w:tc>
          <w:tcPr>
            <w:tcW w:type="dxa" w:w="3000"/>
            <w:shd w:fill="F2F2F2" w:val="clear"/>
            <w:tcMar>
              <w:top w:type="dxa" w:w="70"/>
              <w:left w:type="dxa" w:w="110"/>
              <w:bottom w:type="dxa" w:w="70"/>
              <w:right w:type="dxa" w:w="110"/>
            </w:tcMar>
            <w:vAlign w:val="center"/>
          </w:tcPr>
          <w:p>
            <w:pPr>
              <w:spacing w:after="0"/>
            </w:pPr>
            <w:r>
              <w:rPr>
                <w:b w:val="false"/>
                <w:bCs w:val="false"/>
                <w:sz w:val="17"/>
                <w:szCs w:val="17"/>
              </w:rPr>
              <w:t xml:space="preserve">TSE — prestação de contas</w:t>
            </w:r>
          </w:p>
        </w:tc>
        <w:tc>
          <w:tcPr>
            <w:tcW w:type="dxa" w:w="2400"/>
            <w:shd w:fill="F2F2F2" w:val="clear"/>
            <w:tcMar>
              <w:top w:type="dxa" w:w="70"/>
              <w:left w:type="dxa" w:w="110"/>
              <w:bottom w:type="dxa" w:w="70"/>
              <w:right w:type="dxa" w:w="110"/>
            </w:tcMar>
            <w:vAlign w:val="center"/>
          </w:tcPr>
          <w:p>
            <w:pPr>
              <w:spacing w:after="0"/>
            </w:pPr>
            <w:r>
              <w:rPr>
                <w:b w:val="false"/>
                <w:bCs w:val="false"/>
                <w:sz w:val="17"/>
                <w:szCs w:val="17"/>
              </w:rPr>
              <w:t xml:space="preserve">Pendente</w:t>
            </w:r>
          </w:p>
        </w:tc>
        <w:tc>
          <w:tcPr>
            <w:tcW w:type="dxa" w:w="4200"/>
            <w:shd w:fill="F2F2F2" w:val="clear"/>
            <w:tcMar>
              <w:top w:type="dxa" w:w="70"/>
              <w:left w:type="dxa" w:w="110"/>
              <w:bottom w:type="dxa" w:w="70"/>
              <w:right w:type="dxa" w:w="110"/>
            </w:tcMar>
            <w:vAlign w:val="center"/>
          </w:tcPr>
          <w:p>
            <w:pPr>
              <w:spacing w:after="0"/>
            </w:pPr>
            <w:r>
              <w:rPr>
                <w:b w:val="false"/>
                <w:bCs w:val="false"/>
                <w:sz w:val="17"/>
                <w:szCs w:val="17"/>
              </w:rPr>
              <w:t xml:space="preserve">Pré-requisito da K-01; revisão editorial antes de qualquer uso</w:t>
            </w:r>
          </w:p>
        </w:tc>
      </w:tr>
      <w:tr>
        <w:trPr>
          <w:cantSplit/>
        </w:trPr>
        <w:tc>
          <w:tcPr>
            <w:tcW w:type="dxa" w:w="3000"/>
            <w:shd w:fill="FFFFFF" w:val="clear"/>
            <w:tcMar>
              <w:top w:type="dxa" w:w="70"/>
              <w:left w:type="dxa" w:w="110"/>
              <w:bottom w:type="dxa" w:w="70"/>
              <w:right w:type="dxa" w:w="110"/>
            </w:tcMar>
            <w:vAlign w:val="center"/>
          </w:tcPr>
          <w:p>
            <w:pPr>
              <w:spacing w:after="0"/>
            </w:pPr>
            <w:r>
              <w:rPr>
                <w:b w:val="false"/>
                <w:bCs w:val="false"/>
                <w:sz w:val="17"/>
                <w:szCs w:val="17"/>
              </w:rPr>
              <w:t xml:space="preserve">ANP — preços de combustíveis e GLP</w:t>
            </w:r>
          </w:p>
        </w:tc>
        <w:tc>
          <w:tcPr>
            <w:tcW w:type="dxa" w:w="2400"/>
            <w:shd w:fill="FFFFFF" w:val="clear"/>
            <w:tcMar>
              <w:top w:type="dxa" w:w="70"/>
              <w:left w:type="dxa" w:w="110"/>
              <w:bottom w:type="dxa" w:w="70"/>
              <w:right w:type="dxa" w:w="110"/>
            </w:tcMar>
            <w:vAlign w:val="center"/>
          </w:tcPr>
          <w:p>
            <w:pPr>
              <w:spacing w:after="0"/>
            </w:pPr>
            <w:r>
              <w:rPr>
                <w:b w:val="false"/>
                <w:bCs w:val="false"/>
                <w:sz w:val="17"/>
                <w:szCs w:val="17"/>
              </w:rPr>
              <w:t xml:space="preserve">Integrado (regra A-05)</w:t>
            </w:r>
          </w:p>
        </w:tc>
        <w:tc>
          <w:tcPr>
            <w:tcW w:type="dxa" w:w="4200"/>
            <w:shd w:fill="FFFFFF" w:val="clear"/>
            <w:tcMar>
              <w:top w:type="dxa" w:w="70"/>
              <w:left w:type="dxa" w:w="110"/>
              <w:bottom w:type="dxa" w:w="70"/>
              <w:right w:type="dxa" w:w="110"/>
            </w:tcMar>
            <w:vAlign w:val="center"/>
          </w:tcPr>
          <w:p>
            <w:pPr>
              <w:spacing w:after="0"/>
            </w:pPr>
            <w:r>
              <w:rPr>
                <w:b w:val="false"/>
                <w:bCs w:val="false"/>
                <w:sz w:val="17"/>
                <w:szCs w:val="17"/>
              </w:rPr>
              <w:t xml:space="preserve">Série semestral (ca e glp) e planilhas semanais; formato real conferido na primeira execução do fluxo mercado-referencia (9/10/2026), sem linha descartada</w:t>
            </w:r>
          </w:p>
        </w:tc>
      </w:tr>
      <w:tr>
        <w:trPr>
          <w:cantSplit/>
        </w:trPr>
        <w:tc>
          <w:tcPr>
            <w:tcW w:type="dxa" w:w="3000"/>
            <w:shd w:fill="F2F2F2" w:val="clear"/>
            <w:tcMar>
              <w:top w:type="dxa" w:w="70"/>
              <w:left w:type="dxa" w:w="110"/>
              <w:bottom w:type="dxa" w:w="70"/>
              <w:right w:type="dxa" w:w="110"/>
            </w:tcMar>
            <w:vAlign w:val="center"/>
          </w:tcPr>
          <w:p>
            <w:pPr>
              <w:spacing w:after="0"/>
            </w:pPr>
            <w:r>
              <w:rPr>
                <w:b w:val="false"/>
                <w:bCs w:val="false"/>
                <w:sz w:val="17"/>
                <w:szCs w:val="17"/>
              </w:rPr>
              <w:t xml:space="preserve">Mercado Livre — busca</w:t>
            </w:r>
          </w:p>
        </w:tc>
        <w:tc>
          <w:tcPr>
            <w:tcW w:type="dxa" w:w="2400"/>
            <w:shd w:fill="F2F2F2" w:val="clear"/>
            <w:tcMar>
              <w:top w:type="dxa" w:w="70"/>
              <w:left w:type="dxa" w:w="110"/>
              <w:bottom w:type="dxa" w:w="70"/>
              <w:right w:type="dxa" w:w="110"/>
            </w:tcMar>
            <w:vAlign w:val="center"/>
          </w:tcPr>
          <w:p>
            <w:pPr>
              <w:spacing w:after="0"/>
            </w:pPr>
            <w:r>
              <w:rPr>
                <w:b w:val="false"/>
                <w:bCs w:val="false"/>
                <w:sz w:val="17"/>
                <w:szCs w:val="17"/>
              </w:rPr>
              <w:t xml:space="preserve">Conector pronto, a validar</w:t>
            </w:r>
          </w:p>
        </w:tc>
        <w:tc>
          <w:tcPr>
            <w:tcW w:type="dxa" w:w="4200"/>
            <w:shd w:fill="F2F2F2" w:val="clear"/>
            <w:tcMar>
              <w:top w:type="dxa" w:w="70"/>
              <w:left w:type="dxa" w:w="110"/>
              <w:bottom w:type="dxa" w:w="70"/>
              <w:right w:type="dxa" w:w="110"/>
            </w:tcMar>
            <w:vAlign w:val="center"/>
          </w:tcPr>
          <w:p>
            <w:pPr>
              <w:spacing w:after="0"/>
            </w:pPr>
            <w:r>
              <w:rPr>
                <w:b w:val="false"/>
                <w:bCs w:val="false"/>
                <w:sz w:val="17"/>
                <w:szCs w:val="17"/>
              </w:rPr>
              <w:t xml:space="preserve">Formato e acesso conferidos pela primeira coleta real e pelo teste de contrato</w:t>
            </w:r>
          </w:p>
        </w:tc>
      </w:tr>
      <w:tr>
        <w:trPr>
          <w:cantSplit/>
        </w:trPr>
        <w:tc>
          <w:tcPr>
            <w:tcW w:type="dxa" w:w="3000"/>
            <w:shd w:fill="FFFFFF" w:val="clear"/>
            <w:tcMar>
              <w:top w:type="dxa" w:w="70"/>
              <w:left w:type="dxa" w:w="110"/>
              <w:bottom w:type="dxa" w:w="70"/>
              <w:right w:type="dxa" w:w="110"/>
            </w:tcMar>
            <w:vAlign w:val="center"/>
          </w:tcPr>
          <w:p>
            <w:pPr>
              <w:spacing w:after="0"/>
            </w:pPr>
            <w:r>
              <w:rPr>
                <w:b w:val="false"/>
                <w:bCs w:val="false"/>
                <w:sz w:val="17"/>
                <w:szCs w:val="17"/>
              </w:rPr>
              <w:t xml:space="preserve">Notas fiscais ao consumidor (estados)</w:t>
            </w:r>
          </w:p>
        </w:tc>
        <w:tc>
          <w:tcPr>
            <w:tcW w:type="dxa" w:w="2400"/>
            <w:shd w:fill="FFFFFF" w:val="clear"/>
            <w:tcMar>
              <w:top w:type="dxa" w:w="70"/>
              <w:left w:type="dxa" w:w="110"/>
              <w:bottom w:type="dxa" w:w="70"/>
              <w:right w:type="dxa" w:w="110"/>
            </w:tcMar>
            <w:vAlign w:val="center"/>
          </w:tcPr>
          <w:p>
            <w:pPr>
              <w:spacing w:after="0"/>
            </w:pPr>
            <w:r>
              <w:rPr>
                <w:b w:val="false"/>
                <w:bCs w:val="false"/>
                <w:sz w:val="17"/>
                <w:szCs w:val="17"/>
              </w:rPr>
              <w:t xml:space="preserve">Pendente</w:t>
            </w:r>
          </w:p>
        </w:tc>
        <w:tc>
          <w:tcPr>
            <w:tcW w:type="dxa" w:w="4200"/>
            <w:shd w:fill="FFFFFF" w:val="clear"/>
            <w:tcMar>
              <w:top w:type="dxa" w:w="70"/>
              <w:left w:type="dxa" w:w="110"/>
              <w:bottom w:type="dxa" w:w="70"/>
              <w:right w:type="dxa" w:w="110"/>
            </w:tcMar>
            <w:vAlign w:val="center"/>
          </w:tcPr>
          <w:p>
            <w:pPr>
              <w:spacing w:after="0"/>
            </w:pPr>
            <w:r>
              <w:rPr>
                <w:b w:val="false"/>
                <w:bCs w:val="false"/>
                <w:sz w:val="17"/>
                <w:szCs w:val="17"/>
              </w:rPr>
              <w:t xml:space="preserve">Pedido pela Lei de Acesso à Informação</w:t>
            </w:r>
          </w:p>
        </w:tc>
      </w:tr>
      <w:tr>
        <w:trPr>
          <w:cantSplit/>
        </w:trPr>
        <w:tc>
          <w:tcPr>
            <w:tcW w:type="dxa" w:w="3000"/>
            <w:shd w:fill="F2F2F2" w:val="clear"/>
            <w:tcMar>
              <w:top w:type="dxa" w:w="70"/>
              <w:left w:type="dxa" w:w="110"/>
              <w:bottom w:type="dxa" w:w="70"/>
              <w:right w:type="dxa" w:w="110"/>
            </w:tcMar>
            <w:vAlign w:val="center"/>
          </w:tcPr>
          <w:p>
            <w:pPr>
              <w:spacing w:after="0"/>
            </w:pPr>
            <w:r>
              <w:rPr>
                <w:b w:val="false"/>
                <w:bCs w:val="false"/>
                <w:sz w:val="17"/>
                <w:szCs w:val="17"/>
              </w:rPr>
              <w:t xml:space="preserve">Compras.gov.br, estados, tribunais de contas, municípios</w:t>
            </w:r>
          </w:p>
        </w:tc>
        <w:tc>
          <w:tcPr>
            <w:tcW w:type="dxa" w:w="2400"/>
            <w:shd w:fill="F2F2F2" w:val="clear"/>
            <w:tcMar>
              <w:top w:type="dxa" w:w="70"/>
              <w:left w:type="dxa" w:w="110"/>
              <w:bottom w:type="dxa" w:w="70"/>
              <w:right w:type="dxa" w:w="110"/>
            </w:tcMar>
            <w:vAlign w:val="center"/>
          </w:tcPr>
          <w:p>
            <w:pPr>
              <w:spacing w:after="0"/>
            </w:pPr>
            <w:r>
              <w:rPr>
                <w:b w:val="false"/>
                <w:bCs w:val="false"/>
                <w:sz w:val="17"/>
                <w:szCs w:val="17"/>
              </w:rPr>
              <w:t xml:space="preserve">Planejado</w:t>
            </w:r>
          </w:p>
        </w:tc>
        <w:tc>
          <w:tcPr>
            <w:tcW w:type="dxa" w:w="4200"/>
            <w:shd w:fill="F2F2F2" w:val="clear"/>
            <w:tcMar>
              <w:top w:type="dxa" w:w="70"/>
              <w:left w:type="dxa" w:w="110"/>
              <w:bottom w:type="dxa" w:w="70"/>
              <w:right w:type="dxa" w:w="110"/>
            </w:tcMar>
            <w:vAlign w:val="center"/>
          </w:tcPr>
          <w:p>
            <w:pPr>
              <w:spacing w:after="0"/>
            </w:pPr>
            <w:r>
              <w:rPr>
                <w:b w:val="false"/>
                <w:bCs w:val="false"/>
                <w:sz w:val="17"/>
                <w:szCs w:val="17"/>
              </w:rPr>
              <w:t xml:space="preserve">Fases 2 a 4, conforme a seção 6</w:t>
            </w:r>
          </w:p>
        </w:tc>
      </w:tr>
    </w:tbl>
    <w:p>
      <w:pPr>
        <w:pStyle w:val="Heading1"/>
        <w:keepNext/>
        <w:keepLines/>
        <w:spacing w:after="160" w:before="380"/>
      </w:pPr>
      <w:bookmarkStart w:name="_Toc23" w:id="23"/>
      <w:r>
        <w:t xml:space="preserve">8. Registro de fontes</w:t>
      </w:r>
      <w:bookmarkEnd w:id="23"/>
    </w:p>
    <w:p>
      <w:pPr>
        <w:spacing w:after="120"/>
      </w:pPr>
      <w:r>
        <w:rPr>
          <w:b w:val="false"/>
          <w:bCs w:val="false"/>
          <w:i w:val="false"/>
          <w:iCs w:val="false"/>
        </w:rPr>
        <w:t xml:space="preserve">Toda fonte cadastrada mantém os metadados abaixo, que alimentam o painel operacional e a avaliação de conformidade.</w:t>
      </w:r>
    </w:p>
    <w:tbl>
      <w:tblPr>
        <w:tblW w:type="dxa" w:w="9600"/>
        <w:tblBorders>
          <w:top w:val="single" w:color="BFBFBF" w:sz="4"/>
          <w:left w:val="single" w:color="BFBFBF" w:sz="4"/>
          <w:bottom w:val="single" w:color="BFBFBF" w:sz="4"/>
          <w:right w:val="single" w:color="BFBFBF" w:sz="4"/>
          <w:insideH w:val="single" w:color="D9D9D9" w:sz="2"/>
          <w:insideV w:val="single" w:color="D9D9D9" w:sz="2"/>
        </w:tblBorders>
      </w:tblPr>
      <w:tblGrid>
        <w:gridCol w:w="2800"/>
        <w:gridCol w:w="6800"/>
      </w:tblGrid>
      <w:tr>
        <w:trPr>
          <w:tblHeader/>
        </w:trPr>
        <w:tc>
          <w:tcPr>
            <w:tcW w:type="dxa" w:w="2800"/>
            <w:shd w:fill="1F3864" w:val="clear"/>
            <w:tcMar>
              <w:top w:type="dxa" w:w="80"/>
              <w:left w:type="dxa" w:w="110"/>
              <w:bottom w:type="dxa" w:w="80"/>
              <w:right w:type="dxa" w:w="110"/>
            </w:tcMar>
            <w:vAlign w:val="center"/>
          </w:tcPr>
          <w:p>
            <w:pPr>
              <w:spacing w:after="0"/>
            </w:pPr>
            <w:r>
              <w:rPr>
                <w:b/>
                <w:bCs/>
                <w:color w:val="FFFFFF"/>
                <w:sz w:val="19"/>
                <w:szCs w:val="19"/>
              </w:rPr>
              <w:t xml:space="preserve">Metadado</w:t>
            </w:r>
          </w:p>
        </w:tc>
        <w:tc>
          <w:tcPr>
            <w:tcW w:type="dxa" w:w="6800"/>
            <w:shd w:fill="1F3864" w:val="clear"/>
            <w:tcMar>
              <w:top w:type="dxa" w:w="80"/>
              <w:left w:type="dxa" w:w="110"/>
              <w:bottom w:type="dxa" w:w="80"/>
              <w:right w:type="dxa" w:w="110"/>
            </w:tcMar>
            <w:vAlign w:val="center"/>
          </w:tcPr>
          <w:p>
            <w:pPr>
              <w:spacing w:after="0"/>
            </w:pPr>
            <w:r>
              <w:rPr>
                <w:b/>
                <w:bCs/>
                <w:color w:val="FFFFFF"/>
                <w:sz w:val="19"/>
                <w:szCs w:val="19"/>
              </w:rPr>
              <w:t xml:space="preserve">Finalidade</w:t>
            </w:r>
          </w:p>
        </w:tc>
      </w:tr>
      <w:tr>
        <w:trPr>
          <w:cantSplit/>
        </w:trPr>
        <w:tc>
          <w:tcPr>
            <w:tcW w:type="dxa" w:w="2800"/>
            <w:shd w:fill="FFFFFF" w:val="clear"/>
            <w:tcMar>
              <w:top w:type="dxa" w:w="70"/>
              <w:left w:type="dxa" w:w="110"/>
              <w:bottom w:type="dxa" w:w="70"/>
              <w:right w:type="dxa" w:w="110"/>
            </w:tcMar>
            <w:vAlign w:val="center"/>
          </w:tcPr>
          <w:p>
            <w:pPr>
              <w:spacing w:after="0"/>
            </w:pPr>
            <w:r>
              <w:rPr>
                <w:b w:val="false"/>
                <w:bCs w:val="false"/>
                <w:sz w:val="19"/>
                <w:szCs w:val="19"/>
              </w:rPr>
              <w:t xml:space="preserve">Identificador e ente vinculado</w:t>
            </w:r>
          </w:p>
        </w:tc>
        <w:tc>
          <w:tcPr>
            <w:tcW w:type="dxa" w:w="6800"/>
            <w:shd w:fill="FFFFFF" w:val="clear"/>
            <w:tcMar>
              <w:top w:type="dxa" w:w="70"/>
              <w:left w:type="dxa" w:w="110"/>
              <w:bottom w:type="dxa" w:w="70"/>
              <w:right w:type="dxa" w:w="110"/>
            </w:tcMar>
            <w:vAlign w:val="center"/>
          </w:tcPr>
          <w:p>
            <w:pPr>
              <w:spacing w:after="0"/>
            </w:pPr>
            <w:r>
              <w:rPr>
                <w:b w:val="false"/>
                <w:bCs w:val="false"/>
                <w:sz w:val="19"/>
                <w:szCs w:val="19"/>
              </w:rPr>
              <w:t xml:space="preserve">Associar dados coletados ao ente correto</w:t>
            </w:r>
          </w:p>
        </w:tc>
      </w:tr>
      <w:tr>
        <w:trPr>
          <w:cantSplit/>
        </w:trPr>
        <w:tc>
          <w:tcPr>
            <w:tcW w:type="dxa" w:w="2800"/>
            <w:shd w:fill="F2F2F2" w:val="clear"/>
            <w:tcMar>
              <w:top w:type="dxa" w:w="70"/>
              <w:left w:type="dxa" w:w="110"/>
              <w:bottom w:type="dxa" w:w="70"/>
              <w:right w:type="dxa" w:w="110"/>
            </w:tcMar>
            <w:vAlign w:val="center"/>
          </w:tcPr>
          <w:p>
            <w:pPr>
              <w:spacing w:after="0"/>
            </w:pPr>
            <w:r>
              <w:rPr>
                <w:b w:val="false"/>
                <w:bCs w:val="false"/>
                <w:sz w:val="19"/>
                <w:szCs w:val="19"/>
              </w:rPr>
              <w:t xml:space="preserve">Tipo de conector</w:t>
            </w:r>
          </w:p>
        </w:tc>
        <w:tc>
          <w:tcPr>
            <w:tcW w:type="dxa" w:w="6800"/>
            <w:shd w:fill="F2F2F2" w:val="clear"/>
            <w:tcMar>
              <w:top w:type="dxa" w:w="70"/>
              <w:left w:type="dxa" w:w="110"/>
              <w:bottom w:type="dxa" w:w="70"/>
              <w:right w:type="dxa" w:w="110"/>
            </w:tcMar>
            <w:vAlign w:val="center"/>
          </w:tcPr>
          <w:p>
            <w:pPr>
              <w:spacing w:after="0"/>
            </w:pPr>
            <w:r>
              <w:rPr>
                <w:b w:val="false"/>
                <w:bCs w:val="false"/>
                <w:sz w:val="19"/>
                <w:szCs w:val="19"/>
              </w:rPr>
              <w:t xml:space="preserve">Determinar o adaptador que executa a coleta</w:t>
            </w:r>
          </w:p>
        </w:tc>
      </w:tr>
      <w:tr>
        <w:trPr>
          <w:cantSplit/>
        </w:trPr>
        <w:tc>
          <w:tcPr>
            <w:tcW w:type="dxa" w:w="2800"/>
            <w:shd w:fill="FFFFFF" w:val="clear"/>
            <w:tcMar>
              <w:top w:type="dxa" w:w="70"/>
              <w:left w:type="dxa" w:w="110"/>
              <w:bottom w:type="dxa" w:w="70"/>
              <w:right w:type="dxa" w:w="110"/>
            </w:tcMar>
            <w:vAlign w:val="center"/>
          </w:tcPr>
          <w:p>
            <w:pPr>
              <w:spacing w:after="0"/>
            </w:pPr>
            <w:r>
              <w:rPr>
                <w:b w:val="false"/>
                <w:bCs w:val="false"/>
                <w:sz w:val="19"/>
                <w:szCs w:val="19"/>
              </w:rPr>
              <w:t xml:space="preserve">Objetos canônicos fornecidos</w:t>
            </w:r>
          </w:p>
        </w:tc>
        <w:tc>
          <w:tcPr>
            <w:tcW w:type="dxa" w:w="6800"/>
            <w:shd w:fill="FFFFFF" w:val="clear"/>
            <w:tcMar>
              <w:top w:type="dxa" w:w="70"/>
              <w:left w:type="dxa" w:w="110"/>
              <w:bottom w:type="dxa" w:w="70"/>
              <w:right w:type="dxa" w:w="110"/>
            </w:tcMar>
            <w:vAlign w:val="center"/>
          </w:tcPr>
          <w:p>
            <w:pPr>
              <w:spacing w:after="0"/>
            </w:pPr>
            <w:r>
              <w:rPr>
                <w:b w:val="false"/>
                <w:bCs w:val="false"/>
                <w:sz w:val="19"/>
                <w:szCs w:val="19"/>
              </w:rPr>
              <w:t xml:space="preserve">Saber o que esperar da fonte e o que falta</w:t>
            </w:r>
          </w:p>
        </w:tc>
      </w:tr>
      <w:tr>
        <w:trPr>
          <w:cantSplit/>
        </w:trPr>
        <w:tc>
          <w:tcPr>
            <w:tcW w:type="dxa" w:w="2800"/>
            <w:shd w:fill="F2F2F2" w:val="clear"/>
            <w:tcMar>
              <w:top w:type="dxa" w:w="70"/>
              <w:left w:type="dxa" w:w="110"/>
              <w:bottom w:type="dxa" w:w="70"/>
              <w:right w:type="dxa" w:w="110"/>
            </w:tcMar>
            <w:vAlign w:val="center"/>
          </w:tcPr>
          <w:p>
            <w:pPr>
              <w:spacing w:after="0"/>
            </w:pPr>
            <w:r>
              <w:rPr>
                <w:b w:val="false"/>
                <w:bCs w:val="false"/>
                <w:sz w:val="19"/>
                <w:szCs w:val="19"/>
              </w:rPr>
              <w:t xml:space="preserve">Periodicidade e janela</w:t>
            </w:r>
          </w:p>
        </w:tc>
        <w:tc>
          <w:tcPr>
            <w:tcW w:type="dxa" w:w="6800"/>
            <w:shd w:fill="F2F2F2" w:val="clear"/>
            <w:tcMar>
              <w:top w:type="dxa" w:w="70"/>
              <w:left w:type="dxa" w:w="110"/>
              <w:bottom w:type="dxa" w:w="70"/>
              <w:right w:type="dxa" w:w="110"/>
            </w:tcMar>
            <w:vAlign w:val="center"/>
          </w:tcPr>
          <w:p>
            <w:pPr>
              <w:spacing w:after="0"/>
            </w:pPr>
            <w:r>
              <w:rPr>
                <w:b w:val="false"/>
                <w:bCs w:val="false"/>
                <w:sz w:val="19"/>
                <w:szCs w:val="19"/>
              </w:rPr>
              <w:t xml:space="preserve">Agendamento e detecção de atraso</w:t>
            </w:r>
          </w:p>
        </w:tc>
      </w:tr>
      <w:tr>
        <w:trPr>
          <w:cantSplit/>
        </w:trPr>
        <w:tc>
          <w:tcPr>
            <w:tcW w:type="dxa" w:w="2800"/>
            <w:shd w:fill="FFFFFF" w:val="clear"/>
            <w:tcMar>
              <w:top w:type="dxa" w:w="70"/>
              <w:left w:type="dxa" w:w="110"/>
              <w:bottom w:type="dxa" w:w="70"/>
              <w:right w:type="dxa" w:w="110"/>
            </w:tcMar>
            <w:vAlign w:val="center"/>
          </w:tcPr>
          <w:p>
            <w:pPr>
              <w:spacing w:after="0"/>
            </w:pPr>
            <w:r>
              <w:rPr>
                <w:b w:val="false"/>
                <w:bCs w:val="false"/>
                <w:sz w:val="19"/>
                <w:szCs w:val="19"/>
              </w:rPr>
              <w:t xml:space="preserve">Limite de taxa acordado</w:t>
            </w:r>
          </w:p>
        </w:tc>
        <w:tc>
          <w:tcPr>
            <w:tcW w:type="dxa" w:w="6800"/>
            <w:shd w:fill="FFFFFF" w:val="clear"/>
            <w:tcMar>
              <w:top w:type="dxa" w:w="70"/>
              <w:left w:type="dxa" w:w="110"/>
              <w:bottom w:type="dxa" w:w="70"/>
              <w:right w:type="dxa" w:w="110"/>
            </w:tcMar>
            <w:vAlign w:val="center"/>
          </w:tcPr>
          <w:p>
            <w:pPr>
              <w:spacing w:after="0"/>
            </w:pPr>
            <w:r>
              <w:rPr>
                <w:b w:val="false"/>
                <w:bCs w:val="false"/>
                <w:sz w:val="19"/>
                <w:szCs w:val="19"/>
              </w:rPr>
              <w:t xml:space="preserve">Controle de vazão</w:t>
            </w:r>
          </w:p>
        </w:tc>
      </w:tr>
      <w:tr>
        <w:trPr>
          <w:cantSplit/>
        </w:trPr>
        <w:tc>
          <w:tcPr>
            <w:tcW w:type="dxa" w:w="2800"/>
            <w:shd w:fill="F2F2F2" w:val="clear"/>
            <w:tcMar>
              <w:top w:type="dxa" w:w="70"/>
              <w:left w:type="dxa" w:w="110"/>
              <w:bottom w:type="dxa" w:w="70"/>
              <w:right w:type="dxa" w:w="110"/>
            </w:tcMar>
            <w:vAlign w:val="center"/>
          </w:tcPr>
          <w:p>
            <w:pPr>
              <w:spacing w:after="0"/>
            </w:pPr>
            <w:r>
              <w:rPr>
                <w:b w:val="false"/>
                <w:bCs w:val="false"/>
                <w:sz w:val="19"/>
                <w:szCs w:val="19"/>
              </w:rPr>
              <w:t xml:space="preserve">Última coleta bem-sucedida</w:t>
            </w:r>
          </w:p>
        </w:tc>
        <w:tc>
          <w:tcPr>
            <w:tcW w:type="dxa" w:w="6800"/>
            <w:shd w:fill="F2F2F2" w:val="clear"/>
            <w:tcMar>
              <w:top w:type="dxa" w:w="70"/>
              <w:left w:type="dxa" w:w="110"/>
              <w:bottom w:type="dxa" w:w="70"/>
              <w:right w:type="dxa" w:w="110"/>
            </w:tcMar>
            <w:vAlign w:val="center"/>
          </w:tcPr>
          <w:p>
            <w:pPr>
              <w:spacing w:after="0"/>
            </w:pPr>
            <w:r>
              <w:rPr>
                <w:b w:val="false"/>
                <w:bCs w:val="false"/>
                <w:sz w:val="19"/>
                <w:szCs w:val="19"/>
              </w:rPr>
              <w:t xml:space="preserve">Exibição pública da atualidade do dado</w:t>
            </w:r>
          </w:p>
        </w:tc>
      </w:tr>
      <w:tr>
        <w:trPr>
          <w:cantSplit/>
        </w:trPr>
        <w:tc>
          <w:tcPr>
            <w:tcW w:type="dxa" w:w="2800"/>
            <w:shd w:fill="FFFFFF" w:val="clear"/>
            <w:tcMar>
              <w:top w:type="dxa" w:w="70"/>
              <w:left w:type="dxa" w:w="110"/>
              <w:bottom w:type="dxa" w:w="70"/>
              <w:right w:type="dxa" w:w="110"/>
            </w:tcMar>
            <w:vAlign w:val="center"/>
          </w:tcPr>
          <w:p>
            <w:pPr>
              <w:spacing w:after="0"/>
            </w:pPr>
            <w:r>
              <w:rPr>
                <w:b w:val="false"/>
                <w:bCs w:val="false"/>
                <w:sz w:val="19"/>
                <w:szCs w:val="19"/>
              </w:rPr>
              <w:t xml:space="preserve">Histórico de falhas</w:t>
            </w:r>
          </w:p>
        </w:tc>
        <w:tc>
          <w:tcPr>
            <w:tcW w:type="dxa" w:w="6800"/>
            <w:shd w:fill="FFFFFF" w:val="clear"/>
            <w:tcMar>
              <w:top w:type="dxa" w:w="70"/>
              <w:left w:type="dxa" w:w="110"/>
              <w:bottom w:type="dxa" w:w="70"/>
              <w:right w:type="dxa" w:w="110"/>
            </w:tcMar>
            <w:vAlign w:val="center"/>
          </w:tcPr>
          <w:p>
            <w:pPr>
              <w:spacing w:after="0"/>
            </w:pPr>
            <w:r>
              <w:rPr>
                <w:b w:val="false"/>
                <w:bCs w:val="false"/>
                <w:sz w:val="19"/>
                <w:szCs w:val="19"/>
              </w:rPr>
              <w:t xml:space="preserve">Distinguir instabilidade pontual de descontinuidade</w:t>
            </w:r>
          </w:p>
        </w:tc>
      </w:tr>
      <w:tr>
        <w:trPr>
          <w:cantSplit/>
        </w:trPr>
        <w:tc>
          <w:tcPr>
            <w:tcW w:type="dxa" w:w="2800"/>
            <w:shd w:fill="F2F2F2" w:val="clear"/>
            <w:tcMar>
              <w:top w:type="dxa" w:w="70"/>
              <w:left w:type="dxa" w:w="110"/>
              <w:bottom w:type="dxa" w:w="70"/>
              <w:right w:type="dxa" w:w="110"/>
            </w:tcMar>
            <w:vAlign w:val="center"/>
          </w:tcPr>
          <w:p>
            <w:pPr>
              <w:spacing w:after="0"/>
            </w:pPr>
            <w:r>
              <w:rPr>
                <w:b w:val="false"/>
                <w:bCs w:val="false"/>
                <w:sz w:val="19"/>
                <w:szCs w:val="19"/>
              </w:rPr>
              <w:t xml:space="preserve">Campos legalmente exigidos ausentes</w:t>
            </w:r>
          </w:p>
        </w:tc>
        <w:tc>
          <w:tcPr>
            <w:tcW w:type="dxa" w:w="6800"/>
            <w:shd w:fill="F2F2F2" w:val="clear"/>
            <w:tcMar>
              <w:top w:type="dxa" w:w="70"/>
              <w:left w:type="dxa" w:w="110"/>
              <w:bottom w:type="dxa" w:w="70"/>
              <w:right w:type="dxa" w:w="110"/>
            </w:tcMar>
            <w:vAlign w:val="center"/>
          </w:tcPr>
          <w:p>
            <w:pPr>
              <w:spacing w:after="0"/>
            </w:pPr>
            <w:r>
              <w:rPr>
                <w:b w:val="false"/>
                <w:bCs w:val="false"/>
                <w:sz w:val="19"/>
                <w:szCs w:val="19"/>
              </w:rPr>
              <w:t xml:space="preserve">Alimentar o índice de conformidade</w:t>
            </w:r>
          </w:p>
        </w:tc>
      </w:tr>
      <w:tr>
        <w:trPr>
          <w:cantSplit/>
        </w:trPr>
        <w:tc>
          <w:tcPr>
            <w:tcW w:type="dxa" w:w="2800"/>
            <w:shd w:fill="FFFFFF" w:val="clear"/>
            <w:tcMar>
              <w:top w:type="dxa" w:w="70"/>
              <w:left w:type="dxa" w:w="110"/>
              <w:bottom w:type="dxa" w:w="70"/>
              <w:right w:type="dxa" w:w="110"/>
            </w:tcMar>
            <w:vAlign w:val="center"/>
          </w:tcPr>
          <w:p>
            <w:pPr>
              <w:spacing w:after="0"/>
            </w:pPr>
            <w:r>
              <w:rPr>
                <w:b w:val="false"/>
                <w:bCs w:val="false"/>
                <w:sz w:val="19"/>
                <w:szCs w:val="19"/>
              </w:rPr>
              <w:t xml:space="preserve">Versão da especificação</w:t>
            </w:r>
          </w:p>
        </w:tc>
        <w:tc>
          <w:tcPr>
            <w:tcW w:type="dxa" w:w="6800"/>
            <w:shd w:fill="FFFFFF" w:val="clear"/>
            <w:tcMar>
              <w:top w:type="dxa" w:w="70"/>
              <w:left w:type="dxa" w:w="110"/>
              <w:bottom w:type="dxa" w:w="70"/>
              <w:right w:type="dxa" w:w="110"/>
            </w:tcMar>
            <w:vAlign w:val="center"/>
          </w:tcPr>
          <w:p>
            <w:pPr>
              <w:spacing w:after="0"/>
            </w:pPr>
            <w:r>
              <w:rPr>
                <w:b w:val="false"/>
                <w:bCs w:val="false"/>
                <w:sz w:val="19"/>
                <w:szCs w:val="19"/>
              </w:rPr>
              <w:t xml:space="preserve">Reprodutibilidade das coletas passadas</w:t>
            </w:r>
          </w:p>
        </w:tc>
      </w:tr>
    </w:tbl>
    <w:sectPr>
      <w:headerReference w:type="default" r:id="rId6"/>
      <w:footerReference w:type="default" r:id="rId7"/>
      <w:pgSz w:w="11906" w:h="16838" w:orient="portrait"/>
      <w:pgMar w:top="1140" w:right="1134" w:bottom="1140"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000000"/>
        <w:sz w:val="16"/>
        <w:szCs w:val="16"/>
      </w:rPr>
      <w:t xml:space="preserve">Pagina </w:t>
    </w:r>
    <w:r>
      <w:rPr>
        <w:color w:val="000000"/>
        <w:sz w:val="16"/>
        <w:szCs w:val="16"/>
      </w:rPr>
      <w:fldChar w:fldCharType="begin"/>
      <w:instrText xml:space="preserve">PAGE</w:instrText>
      <w:fldChar w:fldCharType="separate"/>
      <w:fldChar w:fldCharType="end"/>
    </w:r>
    <w:r>
      <w:rPr>
        <w:color w:val="000000"/>
        <w:sz w:val="16"/>
        <w:szCs w:val="16"/>
      </w:rPr>
      <w:t xml:space="preserve"> de </w:t>
    </w:r>
    <w:r>
      <w:rPr>
        <w:color w:val="00000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6"/>
      </w:pBdr>
    </w:pPr>
    <w:r>
      <w:rPr>
        <w:color w:val="000000"/>
        <w:sz w:val="16"/>
        <w:szCs w:val="16"/>
      </w:rPr>
      <w:t xml:space="preserve">Projeto Lumen  |  DOC-06 Catálogo de Fontes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250"/>
      </w:pPr>
    </w:lvl>
    <w:lvl w:ilvl="1" w:tentative="1">
      <w:start w:val="1"/>
      <w:numFmt w:val="bullet"/>
      <w:lvlText w:val="◦"/>
      <w:lvlJc w:val="left"/>
      <w:pPr>
        <w:ind w:left="840" w:hanging="250"/>
      </w:pPr>
    </w:lvl>
    <w:lvl w:ilvl="2" w:tentative="1">
      <w:start w:val="1"/>
      <w:numFmt w:val="bullet"/>
      <w:lvlText w:val="▪"/>
      <w:lvlJc w:val="left"/>
      <w:pPr>
        <w:ind w:left="1260" w:hanging="250"/>
      </w:pPr>
    </w:lvl>
  </w:abstractNum>
  <w:abstractNum w:abstractNumId="3" w15:restartNumberingAfterBreak="0">
    <w:multiLevelType w:val="hybridMultilevel"/>
    <w:lvl w:ilvl="0" w:tentative="1">
      <w:start w:val="1"/>
      <w:numFmt w:val="decimal"/>
      <w:lvlText w:val="%1."/>
      <w:lvlJc w:val="left"/>
      <w:pPr>
        <w:ind w:left="440" w:hanging="280"/>
      </w:pPr>
    </w:lvl>
    <w:lvl w:ilvl="1" w:tentative="1">
      <w:start w:val="1"/>
      <w:numFmt w:val="lowerLetter"/>
      <w:lvlText w:val="%2)"/>
      <w:lvlJc w:val="left"/>
      <w:pPr>
        <w:ind w:left="880" w:hanging="28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160" w:before="380"/>
    </w:pPr>
    <w:rPr>
      <w:rFonts w:ascii="Calibri Light" w:cs="Calibri Light" w:eastAsia="Calibri Light" w:hAnsi="Calibri Light"/>
      <w:b/>
      <w:bCs/>
      <w:color w:val="000000"/>
      <w:sz w:val="34"/>
      <w:szCs w:val="34"/>
    </w:rPr>
  </w:style>
  <w:style w:type="paragraph" w:styleId="Heading2">
    <w:name w:val="Heading 2"/>
    <w:basedOn w:val="Normal"/>
    <w:next w:val="Normal"/>
    <w:qFormat/>
    <w:pPr>
      <w:spacing w:after="120" w:before="280"/>
    </w:pPr>
    <w:rPr>
      <w:rFonts w:ascii="Calibri Light" w:cs="Calibri Light" w:eastAsia="Calibri Light" w:hAnsi="Calibri Light"/>
      <w:b/>
      <w:bCs/>
      <w:color w:val="000000"/>
      <w:sz w:val="27"/>
      <w:szCs w:val="27"/>
    </w:rPr>
  </w:style>
  <w:style w:type="paragraph" w:styleId="Heading3">
    <w:name w:val="Heading 3"/>
    <w:basedOn w:val="Normal"/>
    <w:next w:val="Normal"/>
    <w:qFormat/>
    <w:pPr>
      <w:spacing w:after="100" w:before="220"/>
    </w:pPr>
    <w:rPr>
      <w:rFonts w:ascii="Calibri" w:cs="Calibri" w:eastAsia="Calibri" w:hAnsi="Calibri"/>
      <w:b/>
      <w:bCs/>
      <w:color w:val="000000"/>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DOC-06 - Catálogo de Fontes</dc:title>
  <dc:creator>Projeto Lumen</dc:creator>
  <dc:description>Fontes por esfera, estratégia de cobertura nacional e coleta responsável</dc:description>
  <cp:lastModifiedBy>Un-named</cp:lastModifiedBy>
  <cp:revision>1</cp:revision>
  <dcterms:created xsi:type="dcterms:W3CDTF">2026-10-20T14:00:52.513Z</dcterms:created>
  <dcterms:modified xsi:type="dcterms:W3CDTF">2026-10-20T14:00:52.514Z</dcterms:modified>
</cp:coreProperties>
</file>

<file path=docProps/custom.xml><?xml version="1.0" encoding="utf-8"?>
<Properties xmlns="http://schemas.openxmlformats.org/officeDocument/2006/custom-properties" xmlns:vt="http://schemas.openxmlformats.org/officeDocument/2006/docPropsVTypes"/>
</file>