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DOC-01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Visão e Escopo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Por que o projeto existe, o que ele faz, o que ele nunca fará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de setembro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base para início de desenvolvimento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setembro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Sumário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1. Sumário executivo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Lumen é um sistema que coleta, normaliza e analisa dados de contratações e despesas públicas de todos os entes federativos brasileiros, com o objetivo de sinalizar atividades que merecem análise por parte de órgãos de controle, imprensa e sociedade civil. O sistema não acusa, não julga e não afirma a ocorrência de ilícito: ele identifica padrões estatísticos e processuais que se afastam do esperado, apresenta a evidência primária que sustenta cada sinalização e identifica objetivamente quem praticou o ato administrativo e com que fundamento legal, conforme publicado pelo próprio ente.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viabilidade do projeto em escala nacional apoia-se em uma constatação técnica central: embora o Brasil tenha 5.570 municípios, 26 estados, o Distrito Federal e a União, com portais de transparência extremamente heterogêneos, existem hoje duas bases federais obrigatórias que já concentram dados de praticamente todos esses entes. O Portal Nacional de Contratações Públicas (PNCP), criado pela Lei 14.133/2021, centraliza licitações, contratos, atas e o amparo legal de cada contratação. O SICONFI, da Secretaria do Tesouro Nacional, concentra os relatórios contábeis e fiscais de estados e municípios. Ambos expõem APIs públicas. Isso significa que a cobertura nacional não exige escrever 5.570 raspadores: exige integrar corretamente um pequeno número de fontes federais e, só depois, tratar a cauda longa.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prazo alvo é de doze meses até a versão pública, distribuídos em seis fases descritas no documento DOC-10 Roadmap.</w:t>
      </w: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Princípio fundador do projeto</w:t>
            </w:r>
          </w:p>
          <w:p>
            <w:pPr>
              <w:spacing w:after="70"/>
            </w:pPr>
            <w:r>
              <w:t xml:space="preserve">O Lumen publica indícios, nunca conclusões. Toda sinalização é rotulada como atividade para análise e acompanhada da evidência primária, da regra aplicada e de seus parâmetros.</w:t>
            </w:r>
          </w:p>
          <w:p>
            <w:pPr>
              <w:spacing w:after="70"/>
            </w:pPr>
            <w:r>
              <w:t xml:space="preserve">A determinação de que houve desvio, fraude ou crime cabe exclusivamente aos órgãos de controle e ao Poder Judiciário. Essa restrição não é apenas uma diretriz editorial: ela é imposta no código, no modelo de domínio e no pipeline de publicação, conforme o DOC-08 e o DOC-09.</w:t>
            </w:r>
          </w:p>
        </w:tc>
      </w:tr>
    </w:tbl>
    <w:p>
      <w:pPr>
        <w:pStyle w:val="Heading1"/>
        <w:keepNext/>
        <w:keepLines/>
        <w:spacing w:after="160" w:before="380"/>
      </w:pPr>
      <w:r>
        <w:t xml:space="preserve">2. O problema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Brasil publica um volume enorme de dados sobre gasto público, mas publicar não é o mesmo que tornar fiscalizável. Três barreiras separam o dado publicado do controle social efetivo.</w:t>
      </w:r>
    </w:p>
    <w:p>
      <w:pPr>
        <w:pStyle w:val="Heading2"/>
        <w:keepNext/>
        <w:keepLines/>
        <w:spacing w:after="120" w:before="280"/>
      </w:pPr>
      <w:r>
        <w:t xml:space="preserve">2.1 Fragmentação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esfera e cada ente publica em seu próprio formato, com sua própria nomenclatura, em sua própria periodicidade. Um mesmo item de compra pode aparecer como material de expediente em um município e como suprimento administrativo em outro. Sem normalização, comparar preços entre entes é impossível, e sem comparação não existe detecção de sobrepreço.</w:t>
      </w:r>
    </w:p>
    <w:p>
      <w:pPr>
        <w:pStyle w:val="Heading2"/>
        <w:keepNext/>
        <w:keepLines/>
        <w:spacing w:after="120" w:before="280"/>
      </w:pPr>
      <w:r>
        <w:t xml:space="preserve">2.2 Escala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Existem mais de 6.000 unidades publicando informação orçamentária, considerando União, estados, municípios, câmaras legislativas, autarquias, fundações, empresas públicas e consórcios. Nenhum ser humano ou redação consegue auditar esse volume manualmente. A fiscalização hoje é reativa: investiga-se o que alguém denunciou, não o que os dados apontam.</w:t>
      </w:r>
    </w:p>
    <w:p>
      <w:pPr>
        <w:pStyle w:val="Heading2"/>
        <w:keepNext/>
        <w:keepLines/>
        <w:spacing w:after="120" w:before="280"/>
      </w:pPr>
      <w:r>
        <w:t xml:space="preserve">2.3 Assimetria de atenção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atenção pública concentra-se em contratos de valor elevado, que são poucos e muito visíveis. Entretanto, uma parcela relevante das irregularidades apuradas historicamente pelos tribunais de contas envolve valores pequenos praticados de forma repetida, precisamente porque operam abaixo do limiar de atenção. O caso clássico é o fracionamento de despesa: dividir uma contratação maior em várias menores para manter cada uma abaixo do limite legal de dispensa de licitação. Um sistema que só olhe para valores grandes é cego exatamente onde o padrão é mais comum.</w:t>
      </w: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Requisito derivado</w:t>
            </w:r>
          </w:p>
          <w:p>
            <w:pPr>
              <w:spacing w:after="70"/>
            </w:pPr>
            <w:r>
              <w:t xml:space="preserve">O motor de detecção trata valores pequenos como cidadãos de primeira classe. A família de regras de fracionamento e agregação temporal (família B do DOC-07) foi desenhada especificamente para detectar padrões que só existem quando se olha o conjunto, e nunca o documento isolado.</w:t>
            </w:r>
          </w:p>
        </w:tc>
      </w:tr>
    </w:tbl>
    <w:p>
      <w:pPr>
        <w:pStyle w:val="Heading1"/>
        <w:keepNext/>
        <w:keepLines/>
        <w:spacing w:after="160" w:before="380"/>
      </w:pPr>
      <w:r>
        <w:t xml:space="preserve">3. Objetivos</w:t>
      </w:r>
    </w:p>
    <w:p>
      <w:pPr>
        <w:pStyle w:val="Heading2"/>
        <w:keepNext/>
        <w:keepLines/>
        <w:spacing w:after="120" w:before="280"/>
      </w:pPr>
      <w:r>
        <w:t xml:space="preserve">3.1 Objetivos do produto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800"/>
        <w:gridCol w:w="4400"/>
        <w:gridCol w:w="44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será medido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OBJ-01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Cobrir os dados de contratação de todos os entes que publicam no PNCP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entes com ao menos uma contratação coletada nos últimos 12 meses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OBJ-02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Cobrir os dados orçamentários e fiscais de estados e municípios via SICONFI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entes com RREO e DCA coletados por exercício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OBJ-03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Normalizar tudo em um esquema canônico único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registros que passam nas regras de qualidade sem intervenção manual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OBJ-04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padrões de valor atípico, tanto altos quanto pequenos e repetidos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Precisão dos indícios revisados por amostragem trimestral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OBJ-05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quem autorizou cada ato e com que fundamento legal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contratações com agente e amparo legal preenchidos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OBJ-06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e expor o cumprimento das obrigações de transparência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entes com índice de conformidade calculado e publicado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OBJ-07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Garantir rastreabilidade integral da evidência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indícios com documento fonte armazenado e hash verificável</w:t>
            </w:r>
          </w:p>
        </w:tc>
      </w:tr>
      <w:tr>
        <w:trPr>
          <w:cantSplit/>
        </w:trPr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OBJ-08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Garantir direito de resposta efetivo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médio entre contestação registrada e marcação pública do indício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3.2 Não-objetivos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Delimitar o que o sistema não faz é tão importante quanto delimitar o que ele faz, porque protege o projeto juridicamente e evita expansão descontrolada de escopo.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Lumen não afirma que houve desvio, fraude, superfaturamento ou crime, nem sugere essas conclusões por meio de linguagem, iconografia ou rotulagem.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Lumen não substitui auditoria. Um indício é uma hipótese a ser verificada por quem tem poder de requisitar documentos, ouvir agentes e aplicar sanção.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Lumen não produz ranking de políticos, não atribui pontuação a pessoas físicas e não constrói perfis sobre agentes públicos além do registro objetivo dos atos que assinaram.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Lumen não coleta dados pessoais de cidadãos beneficiários de programas sociais para fins de análise individual. Dados desse tipo, quando necessários, são tratados de forma agregada.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Lumen não burla controles técnicos de acesso. Não resolve CAPTCHA, não usa credencial de terceiro e não acessa área restrita de nenhum portal.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Lumen não é, na primeira versão, um sistema de previsão. Ele descreve o que aconteceu e o quanto isso destoa do padrão, sem prever comportamento futuro de agentes.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4. Princípios inegociáveis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Os princípios a seguir têm precedência sobre qualquer requisito funcional. Em caso de conflito entre um princípio e uma funcionalidade desejada, a funcionalidade é descartada ou redesenhada.</w:t>
      </w:r>
    </w:p>
    <w:p>
      <w:pPr>
        <w:pStyle w:val="Heading3"/>
        <w:keepNext/>
        <w:keepLines/>
        <w:spacing w:after="100" w:before="220"/>
      </w:pPr>
      <w:r>
        <w:t xml:space="preserve">P1. Evidência antes de afirmação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Nenhum indício pode ser publicado sem que exista, armazenado no sistema, o documento primário que o sustenta, com URL de origem, hash SHA-256 e carimbo de tempo da coleta. Se a evidência não pode ser mostrada, o indício não existe.</w:t>
      </w:r>
    </w:p>
    <w:p>
      <w:pPr>
        <w:pStyle w:val="Heading3"/>
        <w:keepNext/>
        <w:keepLines/>
        <w:spacing w:after="100" w:before="220"/>
      </w:pPr>
      <w:r>
        <w:t xml:space="preserve">P2. Linguagem neutra obrigatória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Todo texto voltado ao público usa vocabulário controlado. Termos que imputam ilícito são proibidos em qualquer campo exibível. Essa regra é verificada automaticamente na integração contínua e quebra o build quando violada.</w:t>
      </w:r>
    </w:p>
    <w:p>
      <w:pPr>
        <w:pStyle w:val="Heading3"/>
        <w:keepNext/>
        <w:keepLines/>
        <w:spacing w:after="100" w:before="220"/>
      </w:pPr>
      <w:r>
        <w:t xml:space="preserve">P3. Reprodutibilidade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Qualquer indício deve poder ser reproduzido por terceiros a partir dos dados públicos e da especificação da regra. A regra, sua versão, seus parâmetros e os dados de entrada ficam registrados junto ao indício.</w:t>
      </w:r>
    </w:p>
    <w:p>
      <w:pPr>
        <w:pStyle w:val="Heading3"/>
        <w:keepNext/>
        <w:keepLines/>
        <w:spacing w:after="100" w:before="220"/>
      </w:pPr>
      <w:r>
        <w:t xml:space="preserve">P4. Simetria de correção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Correções e remoções recebem o mesmo destaque e o mesmo canal que a publicação original. Um erro do sistema corrigido em silêncio é um erro cometido duas vezes.</w:t>
      </w:r>
    </w:p>
    <w:p>
      <w:pPr>
        <w:pStyle w:val="Heading3"/>
        <w:keepNext/>
        <w:keepLines/>
        <w:spacing w:after="100" w:before="220"/>
      </w:pPr>
      <w:r>
        <w:t xml:space="preserve">P5. Ausência de dado é informação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Quando um ente não publica o que a lei obriga, isso não é tratado como falha de coleta, mas registrado como indício de descumprimento de transparência, com a base legal correspondente. A opacidade é um achado, não um obstáculo.</w:t>
      </w:r>
    </w:p>
    <w:p>
      <w:pPr>
        <w:pStyle w:val="Heading3"/>
        <w:keepNext/>
        <w:keepLines/>
        <w:spacing w:after="100" w:before="220"/>
      </w:pPr>
      <w:r>
        <w:t xml:space="preserve">P6. Coleta responsável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sistema se identifica em todas as requisições, respeita limites de taxa publicados, prefere sempre a API oficial ao raspador e jamais degrada a disponibilidade de um serviço público para terceiros.</w:t>
      </w:r>
    </w:p>
    <w:p>
      <w:pPr>
        <w:pStyle w:val="Heading1"/>
        <w:keepNext/>
        <w:keepLines/>
        <w:spacing w:after="160" w:before="380"/>
      </w:pPr>
      <w:r>
        <w:t xml:space="preserve">5. Escopo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9055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Diagrama de contexto: atores e fontes externas do Lumen.</w:t>
      </w:r>
    </w:p>
    <w:p>
      <w:pPr>
        <w:pStyle w:val="Heading2"/>
        <w:keepNext/>
        <w:keepLines/>
        <w:spacing w:after="120" w:before="280"/>
      </w:pPr>
      <w:r>
        <w:t xml:space="preserve">5.1 Escopo por esfera e fase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cobertura é construída em camadas, do mais estruturado para o menos estruturado. Essa ordem não é arbitrária: as fontes federais obrigatórias entregam cobertura nacional desde a primeira fase, o que permite começar a detectar padrões muito antes de o trabalho de cauda longa terminar.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3200"/>
        <w:gridCol w:w="3000"/>
        <w:gridCol w:w="1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Natureza da fonte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Federal obrigatória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entes que cumprem a lei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estruturada (PNCP, SICONFI)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Federal complementar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União e transferências a estados e municípios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(CGU, Compras.gov, RFB, TSE)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Estadual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 unidades federativas e seus tribunais de contas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CSV ou HTML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Municipal por plataforma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Centenas de municípios por conector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Famílias de portal comerciais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Municipal cauda longa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Municípios restantes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PDF, XLS, HTML avulso, pedido LAI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4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5.2 Objetos de análise no escopo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Processos de contratação: licitações, dispensas, inexigibilidades, com modalidade e amparo legal.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Contratos, seus aditivos, prorrogações e reajustes.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Itens contratados com quantidade, preço unitário e classificação de catálogo.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Cadeia da despesa: empenho, liquidação e pagamento.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Atas de registro de preço e planos anuais de contratação.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Convênios, transferências voluntárias e emendas parlamentares.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Atos autorizativos e os agentes públicos que os assinaram, no exercício da função.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Fornecedores, seu quadro societário, CNAE, capital social e data de abertura.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Sanções administrativas vigentes (CEIS, CNEP, CEPIM) e decisões de tribunais de contas.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Indicadores de cumprimento das obrigações de transparência de cada ente.</w:t>
      </w:r>
    </w:p>
    <w:p>
      <w:pPr>
        <w:pStyle w:val="Heading2"/>
        <w:keepNext/>
        <w:keepLines/>
        <w:spacing w:after="120" w:before="280"/>
      </w:pPr>
      <w:r>
        <w:t xml:space="preserve">5.3 Fora de escopo na versão 1.0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Folha de pagamento individualizada de servidores, exceto quando já publicada de forma agregada e usada para indicadores do próprio 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Dados de beneficiários de programas sociais em nível individual.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Obras físicas com verificação em campo, imagens de satélite ou medição de execução.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Análise de conteúdo de processos judiciais.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Previsão de risco futuro por aprendizado de máquina supervisionado.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6. Público e partes interessadas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 interessada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espera do sistema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o sistema atende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Entender como o dinheiro do seu município é gasto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por ente com linguagem simples e comparação com municípios semelhantes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Jornalista de dados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Encontrar pautas e sustentar a apuração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 avançada, exportação e dossiê de evidências com documentos originais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Órgão de controle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Priorizar onde alocar capacidade de auditoria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API, fila de indícios por severidade e exportação estruturada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Pesquisador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histórica normalizada e reprodutível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 em Parquet e CSV com dicionário de dados versionado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público analisado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Corrigir informação incorreta a seu respeito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de contestação com prazo definido e resposta publicada junto ao indício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do projeto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Operar com previsibilidade e sem risco jurídico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Vocabulário controlado, revisão humana obrigatória e trilha de auditoria</w:t>
            </w:r>
          </w:p>
        </w:tc>
      </w:tr>
    </w:tbl>
    <w:p>
      <w:pPr>
        <w:pStyle w:val="Heading1"/>
        <w:keepNext/>
        <w:keepLines/>
        <w:spacing w:after="160" w:before="380"/>
      </w:pPr>
      <w:r>
        <w:t xml:space="preserve">7. Premissas e restrições</w:t>
      </w:r>
    </w:p>
    <w:p>
      <w:pPr>
        <w:pStyle w:val="Heading2"/>
        <w:keepNext/>
        <w:keepLines/>
        <w:spacing w:after="120" w:before="280"/>
      </w:pPr>
      <w:r>
        <w:t xml:space="preserve">7.1 Premissas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Os dados tratados são públicos por força da Lei 12.527/2011 (Lei de Acesso à Informação), da Lei Complementar 131/2009 e do art. 174 da Lei 14.133/2021, e sua reutilização é amparada pelo Decreto 8.777/2016, que instituiu a Política de Dados Abertos do Executivo federal.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As APIs federais citadas permanecerão disponíveis e gratuitas. Caso alguma seja descontinuada, o modelo de conectores permite substituir a fonte sem alterar o núcleo do sistema.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qualidade do dado de origem é variável e frequentemente ruim. O sistema deve tratar dado incompleto como situação normal de operação, não como exceção.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 projeto será conduzido inicialmente por uma equipe muito pequena, o que torna a automação e a padronização mais importantes do que a sofisticação de cada componente.</w:t>
      </w:r>
    </w:p>
    <w:p>
      <w:pPr>
        <w:pStyle w:val="Heading2"/>
        <w:keepNext/>
        <w:keepLines/>
        <w:spacing w:after="120" w:before="280"/>
      </w:pPr>
      <w:r>
        <w:t xml:space="preserve">7.2 Restrições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700"/>
        <w:gridCol w:w="3900"/>
        <w:gridCol w:w="40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Implicação no desenho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Vedado imputar ilícito a pessoa física ou jurídica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Vocabulário controlado aplicado por lint e testes automatizados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LGPD aplica-se a dados pessoais mesmo em bases públicas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de dados e minimização no estágio de normalização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Técnica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Limites de taxa das APIs oficiais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com controle de vazão por fonte e coleta incremental por data de atualização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Técnica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na casa de bilhões de linhas ao longo dos anos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Camada analítica colunar particionada, e não banco transacional único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reduzida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Conectores declarativos em vez de código por ente; revisão humana só no que é publicado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Financeira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Orçamento de infraestrutura limitado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Armazenamento em objetos e processamento sob demanda em vez de cluster permanente</w:t>
            </w:r>
          </w:p>
        </w:tc>
      </w:tr>
    </w:tbl>
    <w:p>
      <w:pPr>
        <w:pStyle w:val="Heading1"/>
        <w:keepNext/>
        <w:keepLines/>
        <w:spacing w:after="160" w:before="380"/>
      </w:pPr>
      <w:r>
        <w:t xml:space="preserve">8. Riscos do projeto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00"/>
        <w:gridCol w:w="3200"/>
        <w:gridCol w:w="900"/>
        <w:gridCol w:w="900"/>
        <w:gridCol w:w="3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Ação judicial por parte de ente ou fornecedor citado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Vocabulário controlado, revisão humana, evidência primária armazenada e direito de resposta imediato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Falso positivo publicado com repercussão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Limiar de publicação alto, revisão obrigatória acima de severidade média e errata com mesmo destaque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 oficial muda formato sem aviso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de contrato por fonte, alarme de variação de esquema e camada bronze que permite reprocessar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Bloqueio de IP por coleta agressiva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Vazão conservadora, identificação no User-Agent e preferência por API oficial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R-05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Cauda longa municipal consumir todo o tempo do projeto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nacional entregue na fase 1 via PNCP e SICONFI; cauda longa tratada como incremento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de armazenamento crescer acima do previsto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Compressão colunar, particionamento por ano e política de ciclo de vida no armazenamento de objetos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R-07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Exposição indevida de dado pessoal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de dados, mascaramento de documentos e revisão de privacidade antes de cada publicação nova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R-08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Projeto ser percebido como perseguição política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Critérios idênticos para todos os entes, metodologia pública e ausência de recorte partidário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9. Glossário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 no contexto do projeto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Amparo legal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Dispositivo da lei invocado para justificar a forma de contratação; no PNCP vem como campo estruturado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Ato autorizativo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pelo qual um agente público autoriza uma contratação ou despesa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CATMAT / CATSER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Catálogos federais de materiais e serviços, usados para normalizar itens entre entes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CEIS / CNEP / CEPIM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Cadastros federais de empresas e entidades sancionadas ou impedidas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Conector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que sabe obter dados de uma fonte específica e entregar no formato canônico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DCA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Declaração de Contas Anuais enviada ao SICONFI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Dispensa de licitação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Contratação direta permitida por lei em hipóteses específicas, inclusive por valor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 da federação ou órgão público analisado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 canônico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dados único para o qual toda fonte é convertida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Fracionamento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Divisão de uma despesa em parcelas menores, de modo que cada uma fique abaixo de um limite legal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de pares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Conjunto de entes comparáveis por porte, região e capacidade fiscal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Sinalização produzida por uma regra, sempre acompanhada de evidência e nunca de conclusão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PNCP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Nacional de Contratações Públicas, criado pela Lei 14.133/2021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RREO / RGF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 fiscais periódicos obrigatórios enviados ao SICONFI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SICONFI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Informações Contábeis e Fiscais do Setor Público Brasileiro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Trilha de evidência</w:t>
            </w:r>
          </w:p>
        </w:tc>
        <w:tc>
          <w:tcPr>
            <w:tcW w:type="dxa" w:w="7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Conjunto regra, parâmetros, dados de entrada e documentos que sustentam um indício</w:t>
            </w:r>
          </w:p>
        </w:tc>
      </w:tr>
    </w:tbl>
    <w:p>
      <w:pPr>
        <w:pStyle w:val="Heading1"/>
        <w:keepNext/>
        <w:keepLines/>
        <w:spacing w:after="160" w:before="380"/>
      </w:pPr>
      <w:r>
        <w:t xml:space="preserve">10. Documentos relacionados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00"/>
        <w:gridCol w:w="3400"/>
        <w:gridCol w:w="48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Visão e Escopo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Requisitos funcionais e não-funcionais numerados e rastreáveis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Uso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Atores e fluxos detalhados de cada caso de uso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Estilo arquitetural, containers, decisões registradas e stack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Dados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Entidades do esquema canônico e dicionário de dados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de Fontes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Fontes por esfera e estratégia de ingestão multiformato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DOC-07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Detecção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de regras com fórmulas, limiares e falsos positivos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DOC-08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Política Jurídica e Editorial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legal, LGPD, vocabulário e direito de resposta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DOC-09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Padrões de Código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Convenções, testes, CI/CD e definição de pronto</w:t>
            </w:r>
          </w:p>
        </w:tc>
      </w:tr>
      <w:tr>
        <w:trPr>
          <w:cantSplit/>
        </w:trPr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DOC-10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Roadmap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Fases, marcos, esforço e custos estimados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DOC-01 Visão e Escopo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cf86eb1c0db551e597525e4b898c20877343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DOC-01 - Visão e Escopo</dc:title>
  <dc:creator>Projeto Lumen</dc:creator>
  <dc:description>Por que o projeto existe, o que ele faz, o que ele nunca fará</dc:description>
  <cp:lastModifiedBy>Un-named</cp:lastModifiedBy>
  <cp:revision>1</cp:revision>
  <dcterms:created xsi:type="dcterms:W3CDTF">2026-10-06T10:19:41.504Z</dcterms:created>
  <dcterms:modified xsi:type="dcterms:W3CDTF">2026-10-06T10:19:41.505Z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