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DOC-04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Arquitetura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Estilo, containers, decisões registradas e estratégia de escala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base; seção 9 com a implantação da Fase 1 (ADR-026)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(os limites da seção 9, em outubro de 2026)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Direcionadores arquiteturais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arquitetura do Lumen responde a cinco forças que, juntas, eliminam a maior parte das soluções óbvias. Entendê-las é pré-requisito para avaliar qualquer decisão registrada neste documento.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Direcionador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Consequência arquitetural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prova importa mais que o dado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artefato bruto é a fonte de verdade e nunca é sobrescrito; tudo mais é derivado e descartável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extrema das fontes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ingestão é isolada por portas e adaptadores; o núcleo nunca conhece o formato de origem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nacional com equipe mínima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Conectores declarativos e integração das bases federais obrigatórias antes da cauda longa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analítico alto, escrita pontual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colunar separada do banco transacional de domínio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Risco jurídico na publicação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Restrição de linguagem imposta no modelo de domínio e verificada automaticamente na integração contínua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Visão de contexto e containers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Visão de containers: ingestão, armazenamento, processamento e entrega.</w:t>
      </w:r>
    </w:p>
    <w:p>
      <w:pPr>
        <w:pStyle w:val="Heading2"/>
        <w:keepNext/>
        <w:keepLines/>
        <w:spacing w:after="120" w:before="280"/>
      </w:pPr>
      <w:r>
        <w:t xml:space="preserve">2.1 Responsabilidade de cada container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4700"/>
        <w:gridCol w:w="2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Orquestrador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Agendar, retentar, versionar e observar execuções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Dagster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Trabalhadores de coleta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conectores e preservar artefatos brutos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fontes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a especificação declarativa de cada fonte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YAML versionado em Git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imutável com hash e carimbo de tempo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S3 ou MinIO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Lakehouse analítico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Camadas silver e gold em formato colunar particionado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Parquet + DuckDB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Entidades, indícios, contestações e trilha de auditoria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textual em objetos de contratação e editais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OpenSearch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Normalizador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Converter qualquer fonte ao esquema canônico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Enriquecedor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Societário, catálogo de itens, grupo de pares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 de detecção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regras versionadas e gerar indícios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+ SQL analítico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Avaliador de conformidade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cumprimento das obrigações legais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pública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Servir dados e indícios com contrato estável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TypeScript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web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pública de consulta e visualização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Next.js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Estilo arquitetural</w:t>
      </w:r>
    </w:p>
    <w:p>
      <w:pPr>
        <w:pStyle w:val="Heading2"/>
        <w:keepNext/>
        <w:keepLines/>
        <w:spacing w:after="120" w:before="280"/>
      </w:pPr>
      <w:r>
        <w:t xml:space="preserve">3.1 Portas e adaptadores na ingestão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ingestão é o ponto de maior variabilidade do sistema: cada uma das milhares de fontes possui formato, protocolo e qualidade próprios. Para impedir que essa variabilidade contamine o restante, toda fonte é acessada por meio de uma única porta, e cada família de fonte é um adaptador que a implementa. O núcleo de domínio não sabe se um contrato veio de uma API REST, de uma planilha ou de um PDF digitalizado.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1838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Porta FonteDados e seus adaptadores, com o alcance de cobertura de cada um.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contrato da porta é deliberadamente pequeno. Quatro operações bastam para todos os casos: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"""Porta unica de acesso a qualquer fonte de dado publico."""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descrever_capacidades(self) -&gt; CapacidadesFonte: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"""Que objetos essa fonte fornece, com que granularidade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 periodicidade. Consultado pelo orquestrador para montar o plano."""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listar(self, janela: Janela) -&gt; Iterator[ReferenciaArtefato]: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"""Enumera o que existe na janela, sem baixar conteudo.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Permite planejar volume antes de consumir cota da fonte."""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baixar(self, ref: ReferenciaArtefato) -&gt; ArtefatoBruto: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"""Obtem o conteudo exatamente como publicado.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Retorna bytes, midia, cabecalhos e URL efetiva apos redirecionamentos."""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reportar_conformidade(self) -&gt; RelatorioConformidade: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"""O que a fonte deveria publicar e nao publica.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 por aqui que a ausencia de dado vira achado, e nao erro."""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reportar_conformidade fica na porta, e não fora dela</w:t>
            </w:r>
          </w:p>
          <w:p>
            <w:pPr>
              <w:spacing w:after="70"/>
            </w:pPr>
            <w:r>
              <w:t xml:space="preserve">Quem sabe distinguir uma indisponibilidade temporária de uma ausência persistente de publicação é o adaptador, porque só ele conhece o comportamento normal daquela fonte. Colocar essa responsabilidade no núcleo obrigaria o núcleo a conhecer particularidades de cada portal, que é exatamente o que a porta existe para evitar.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3.2 Camadas de dados no padrão medallion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dados percorrem três camadas com propósitos distintos e garantias distintas. A separação resolve o conflito entre preservar a prova e ter um modelo consultável e limpo.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28670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Camadas bronze, silver e gold, e os dois caminhos de volta que sustentam a auditabilidade.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800"/>
        <w:gridCol w:w="43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pode ser feito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Imutável, nunca alterada nem apagada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escrita por coleta e leitura por reprocessamento; é a prova jurídica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Reconstruível integralmente a partir do bronze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 ser apagada e regerada a qualquer momento sem perda de informação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Derivada e descartável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regra, parâmetro ou linha de base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consequência prática mais importante: mudar uma regra de detecção nunca exige nova coleta. Recalcula-se a camada gold sobre a silver existente. E corrigir um erro de normalização não exige pedir nada de novo às fontes, porque o bronze permanece intacto. Em um projeto que depende de milhares de servidores públicos de terceiros, essa propriedade vale mais do que qualquer otimização.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Decisões arquiteturais registradas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decisão relevante fica registrada com contexto, alternativas consideradas e consequências aceitas. Decisões podem ser substituídas por outras posteriores, mas nunca apagadas.</w:t>
      </w:r>
    </w:p>
    <w:p>
      <w:pPr>
        <w:pStyle w:val="Heading3"/>
        <w:keepNext/>
        <w:keepLines/>
        <w:spacing w:after="100" w:before="220"/>
      </w:pPr>
      <w:r>
        <w:t xml:space="preserve">ADR-001 — Usar PNCP e SICONFI como espinha dorsal, antes de qualquer raspagem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5.570 municípios por raspagem individual é inviável para uma equipe pequena e produziria milhares de integrações frágeis.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Integrar primeiro as bases federais de envio obrigatório que já concentram dados de praticamente todos os entes, e só então tratar a cauda longa.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Começar pelos portais municipais; começar por um estado piloto; comprar base de terceiro.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 já na fase 1, com poucas integrações. Em contrapartida, o sistema herda as lacunas das bases federais, o que é tratado pelo módulo de conformidade como achado e não como falha.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ADR-002 — Camada bronze imutável como fonte de verdade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indício só se sustenta se a evidência que o originou puder ser exibida exatamente como estava publicada na data da coleta. Portais reescrevem e removem páginas com frequência.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artefato é armazenado sem transformação, com hash SHA-256, URL efetiva, carimbo de tempo e cabeçalhos. Nova coleta gera nova versão; nada é sobrescrito.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apenas o dado normalizado; guardar apenas a URL e recoletar quando necessário.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de armazenamento maior e crescente. Em troca, o projeto sobrevive à remoção de conteúdo na origem e a qualquer contestação sobre o que estava publicado.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ADR-003 — Python na ingestão e detecção, TypeScript na API e no portal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ecossistema de coleta, extração de documentos e análise estatística é dominado por Python. A equipe já domina Node com arquitetura limpa para construção de API.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Separar por responsabilidade: Python do conector até o indício; TypeScript do indício até o usuário. O contato entre os dois mundos é o banco de domínio e o lakehouse, nunca chamadas diretas.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Tudo em Python; tudo em TypeScript.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Duas cadeias de ferramentas para manter. Em troca, cada camada usa o ecossistema onde é mais produtiva, e a fronteira entre elas é um contrato de dados explícito e testável.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ADR-004 — Conectores declarativos em vez de código por fonte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Escrever e manter uma classe por município produziria milhares de arquivos praticamente idênticos e impossíveis de manter.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especificação declarativa por fonte, interpretada por um motor genérico. Código novo só para fontes genuinamente exóticas.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classe por fonte; um único raspador genérico sem configuração.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fonte deixa de ser tarefa de programador e passa a ser tarefa de analista. O motor genérico fica mais complexo e precisa de cobertura de teste alta.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ADR-005 — PostgreSQL para domínio e formato colunar para análise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domínio tem escritas transacionais e relacionamentos ricos; a análise varre bilhões de linhas históricas. Um único banco atenderia mal aos dois perfis.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para entidades, indícios, contestações e auditoria. Parquet particionado consultado por motor colunar para as camadas silver e gold.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PostgreSQL; somente lakehouse; data warehouse gerenciado.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preciso manter consistência entre os dois mundos. Em troca, consulta analítica não degrada a operação, e o custo de armazenamento analítico cai por ordens de grandeza.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ADR-006 — Regras explicáveis em vez de aprendizado de máquina na versão 1.0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indício precisa ser explicado em linguagem simples a um cidadão e reproduzido por um terceiro. Um modelo estatístico opaco não satisfaz nenhuma das duas exigências e amplia o risco jurídico.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versão 1.0 usa apenas regras determinísticas e estatística clássica, com parâmetros explícitos e versionados.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de anomalia por aprendizado não supervisionado desde o início.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capacidade de descobrir padrões não antecipados. Em troca, cada indício é explicável, auditável e defensável. Métodos mais sofisticados ficam para versões futuras, e somente como priorização interna da fila, nunca como base de publicação.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ADR-007 — Vocabulário controlado imposto por ferramenta, não por disciplina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proibição de imputar ilícito é a restrição mais crítica do projeto. Depender de revisão humana para garanti-la é frágil: basta um texto de erro, um rótulo ou um comentário escaparem.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lista de termos proibidos é verificada automaticamente em todo texto destinado ao público, e a verificação roda na integração contínua quebrando o build quando violada.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Diretriz documentada; revisão editorial manual.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Algum atrito no desenvolvimento e necessidade de manter a lista. Em troca, a garantia deixa de depender de memória individual e passa a ser propriedade verificável do sistema.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ADR-008 — Revisão humana obrigatória acima do limiar de severidade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automática de indício sobre pessoa jurídica identificável concentra o maior risco do projeto.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de severidade alta é publicado sem aprovação humana registrada, com autor e justificativa em trilha somente-anexação.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automática com limiar alto; revisão por amostragem.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dependência de capacidade humana e limita o volume publicável. Essa limitação é aceita deliberadamente: o gargalo protege o projeto.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ADR-009 — Dagster como orquestrador, com os dados como cidadãos de primeira classe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pipeline tem milhares de execuções parciais, dependências entre fontes e necessidade de reprocessar recortes específicos sem refazer tudo.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Adotar orquestrador centrado em ativos de dados, e não em tarefas, o que torna o reprocesso seletivo e a linhagem propriedades nativas.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Airflow; Prefect; agendamento por cron com scripts.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Curva de aprendizado inicial maior que a de um agendador simples. Em troca, linhagem, materialização parcial e reprocesso seletivo vêm prontos, que são exatamente as operações mais frequentes deste projeto.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ADR-010 — Monorepo com pacotes separados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pequena, forte acoplamento conceitual entre o esquema canônico, as regras e a API que os expõe.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repositório com pacotes independentes e versionamento conjunto do esquema canônico.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Repositórios separados por serviço.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Mudanças no esquema canônico são atômicas e não geram dessincronização entre serviços. O repositório cresce e exige boa configuração de integração contínua seletiva por caminho alterado.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Estrutura do repositório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packages/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canonico/              # esquema canonico: unica fonte de verdade do modelo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schemas/           # definicoes versionadas (contrato entre Python e TS)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migrations/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ingestao/              # Python - portas e adaptadores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portas/            # protocolo FonteDados e tipos de dominio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adaptadores/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api/           # pncp.py, siconfi.py, cgu.py, rfb.py, tse.py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plataforma/    # familias de portal municipal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declarativo/   # motor que interpreta as specs YAML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└── documento/     # extracao de PDF, XLSX, HTML, OCR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fontes/            # specs YAML, uma por fonte cadastrada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normalizacao/          # Python - bruto para canonico + qualidade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enriquecimento/        # Python - societario, catalogo, grupo de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deteccao/              # Python - motor e catalogo de regras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motor/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regras/            # uma regra por arquivo, versionada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calibracao/        # simulacao sobre janela historica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conformidade/          # Python - indice de transparencia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api/                   # TypeScript - API publica (arquitetura limpa)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dominio/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aplicacao/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infra/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http/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portal/                # Next.js - interface publica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orquestracao/              # definicoes Dagster: ativos, jobs, agendas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infra/                     # Terraform e Docker Compose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ferramentas/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lint-vocabulario/      # verificador de vocabulario controlado (ADR-007)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docs/                      # DOC-01 a DOC-10 e ADRs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testes/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fixtures/              # amostras reais de cada fonte, versionadas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contrato/              # testes de contrato por fonte externa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regras/                # casos sinteticos por regra de deteccao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Volumetria e escalabilidade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estimativas abaixo orientam o dimensionamento inicial. São ordens de grandeza, não previsões precisas, e devem ser revistas ao final da fase 1 com números reais de coleta.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600"/>
        <w:gridCol w:w="4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Entes monitorados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~6.000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 em memória; não é o fator de escala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Contratações por ano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milhões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tratável em formato colunar particionado por ano e UF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contratados por ano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dezenas de milhões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 tabela analítica; exige particionamento e compressão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por ano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dezenas de milhões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Particionar por exercício e esfera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por ano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milhões de objetos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 com política de classe de acesso por idade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alvo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anos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projetada para a casa de bilhões de linhas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Estratégia de crescimento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Particionamento por exercício e unidade federativa em todas as tabelas analíticas grandes, de modo que consultas por ente ou por ano leiam uma fração mínima do total.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Compressão colunar com ordenação por ente e data, o que melhora simultaneamente o custo de armazenamento e o desempenho dos filtros mais frequentes.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Processamento sob demanda em vez de cluster permanente: o pipeline sobe capacidade para o ciclo e a libera ao fim, o que se ajusta ao perfil de carga concentrada e ao orçamento restrito.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o motor colunar embarcado deixar de atender ao crescimento do histórico, a substituição por um banco colunar distribuído não afeta as camadas acima, porque o formato de armazenamento é aberto.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Segurança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Domínio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Autenticação administrativa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Segundo fator obrigatório, sessão com expiração curta e registro de tentativas malsucedidas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Perfis separados de revisor e administrador; permissão de calibração distinta da de revisão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Segredos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Cofre de segredos; nenhuma credencial em repositório, imagem ou variável de build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Transporte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TLS 1.2 ou superior em todo tráfego externo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Repouso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Cifragem no armazenamento de objetos e nos backups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Trilha de auditoria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Somente-anexação, sem permissão de alteração ou exclusão pela aplicação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Superfície pública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com limite de taxa por chave e por endereço; portal sem escrita anônima exceto contestação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Dependências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Verificação automática de vulnerabilidade e fixação de versões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 da prova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registrado no momento da coleta e reconferido a cada leitura do artefato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Observabilidade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sistema é observado em três níveis, porque falhas silenciosas de coleta são o modo de falha mais perigoso: o pipeline continua verde enquanto a cobertura real despenca.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 medido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Alarme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Infraestrutura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CPU, memória, fila, latência de armazenamento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Limiares padrão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Execuções por fonte, taxa de falha, atraso em relação à janela, volume coletado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Queda de volume acima de desvio esperado para a fonte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por ente, indícios por regra, taxa de descarte na revisão, tempo de contestação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em queda ou taxa de descarte de uma regra acima do limite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Alarme mais importante do sistema</w:t>
            </w:r>
          </w:p>
          <w:p>
            <w:pPr>
              <w:spacing w:after="70"/>
            </w:pPr>
            <w:r>
              <w:t xml:space="preserve">A métrica que mais merece atenção não é erro, é ausência: uma fonte que passa a retornar sucesso com zero registros. Tecnicamente tudo funciona, e a cobertura desaparece em silêncio. Por isso o alarme de variação de volume por fonte é tratado como crítico, no mesmo nível de uma falha de coleta.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9. Implantação sem custo na Fase 1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containers da seção 2 descrevem papéis, não fornecedores. Enquanto o projeto não tem orçamento, cada papel roda num plano gratuito (ADR-026). A troca por um serviço pago não muda o código: o armazenamento é S3 compatível, o banco é PostgreSQL e os dados analíticos são Parquet.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4200"/>
        <w:gridCol w:w="30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que pede a primeira despesa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Armazenamento de objetos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R2: feeds públicos, estado das cargas e, quando a coleta sair do computador local, a prova com trava de bucket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 somados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Lakehouse analítico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Parquet no R2, consultado com DuckDB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mesmos 10 GB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Banco de domínio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Supabase gratuito, em organização própria do projeto, com a migração 0001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 MB de banco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Orquestrador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 agendado, com cargas retomáveis e prazo por execução; o Dagster entra quando houver máquina permanente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2.000 minutos por mês em repositório privado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web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Pages, site estático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de busca e API pública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Ainda não implantados: entram nas fases seguintes (DOC-10)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segredos ficam nos segredos do GitHub Actions e em variáveis de ambiente, nunca no repositório (seção 7). O passo a passo da configuração está no DOC-12, seção 9.5.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DOC-04 Arquitetura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a202abe9a04538746ae79fe64d3eaf6844b5fe4.png"/><Relationship Id="rId10" Type="http://schemas.openxmlformats.org/officeDocument/2006/relationships/image" Target="media/35305b096dfb50ecc0f267c5e1ece962fd14b9d0.png"/><Relationship Id="rId11" Type="http://schemas.openxmlformats.org/officeDocument/2006/relationships/image" Target="media/98d52e6bc17318a2fc8468d00ed12ba078e0322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DOC-04 - Arquitetura</dc:title>
  <dc:creator>Projeto Lumen</dc:creator>
  <dc:description>Estilo, containers, decisões registradas e estratégia de escala</dc:description>
  <cp:lastModifiedBy>Un-named</cp:lastModifiedBy>
  <cp:revision>1</cp:revision>
  <dcterms:created xsi:type="dcterms:W3CDTF">2026-10-07T09:48:09.216Z</dcterms:created>
  <dcterms:modified xsi:type="dcterms:W3CDTF">2026-10-07T09:48:09.216Z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