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000000"/>
          <w:spacing w:val="60"/>
          <w:sz w:val="26"/>
          <w:szCs w:val="26"/>
        </w:rPr>
        <w:t xml:space="preserve">PROJETO LUMEN</w:t>
      </w:r>
    </w:p>
    <w:p>
      <w:pPr>
        <w:spacing w:after="400"/>
      </w:pPr>
      <w:r>
        <w:rPr>
          <w:color w:val="000000"/>
          <w:sz w:val="20"/>
          <w:szCs w:val="20"/>
        </w:rPr>
        <w:t xml:space="preserve">Monitoramento de contratações e despesas públicas do Brasil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DOC-07</w:t>
      </w:r>
    </w:p>
    <w:p>
      <w:pPr>
        <w:spacing w:after="140"/>
      </w:pPr>
      <w:r>
        <w:rPr>
          <w:b/>
          <w:bCs/>
          <w:color w:val="000000"/>
          <w:sz w:val="48"/>
          <w:szCs w:val="48"/>
        </w:rPr>
        <w:t xml:space="preserve">Motor de Detecção</w:t>
      </w:r>
    </w:p>
    <w:p>
      <w:pPr>
        <w:pBdr>
          <w:bottom w:val="single" w:color="000000" w:sz="8" w:space="14"/>
        </w:pBdr>
        <w:spacing w:after="700"/>
      </w:pPr>
      <w:r>
        <w:rPr>
          <w:i/>
          <w:iCs/>
          <w:color w:val="000000"/>
          <w:sz w:val="24"/>
          <w:szCs w:val="24"/>
        </w:rPr>
        <w:t xml:space="preserve">Catálogo de regras, fórmulas, limiares e tratamento de falso positivo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 (nome de trabalho, sujeito a verificação de disponibilidade)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 de outubro de 2026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 da versão 1.0 com as revisões pendentes registradas na Fase 1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Este documento integra o pacote de documentação do Projeto Lumen. Valores legais, limites e endpoints citados foram verificados em fontes oficiais em outubro de 2026 e devem ser reconferidos antes da implementação, pois são atualizados periodicamente por decreto.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Sumário</w:t>
      </w: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Para preencher o sumário, selecione todo o documento (Ctrl+A) e atualize os campos (F9). No Word, também é possível clicar com o botão direito sobre o sumário e escolher Atualizar campo.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1. Filosofia do motor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Uma regra de detecção não responde à pergunta se houve irregularidade. Ela responde a uma pergunta muito mais modesta e verificável: este registro se afasta do padrão observado em registros comparáveis, ou de um limite objetivo definido em lei. A distância entre essas duas perguntas é exatamente o espaço onde vive a responsabilidade dos órgãos de controle, e o Lumen não o ocupa.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Essa modéstia tem consequência prática direta no desenho: toda regra precisa expor a referência contra a qual comparou. Dizer que um preço é alto sem dizer alto em relação a quê não é detecção, é opinião. Por isso cada regra deste catálogo declara explicitamente sua linha de base.</w:t>
      </w:r>
    </w:p>
    <w:tbl>
      <w:tblPr>
        <w:tblW w:type="dxa" w:w="9600"/>
        <w:tblBorders>
          <w:top w:val="single" w:color="BF8F00" w:sz="6"/>
          <w:left w:val="single" w:color="BF8F00" w:sz="18"/>
          <w:bottom w:val="single" w:color="BF8F00" w:sz="6"/>
          <w:right w:val="single" w:color="BF8F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FF6E0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Revisões pendentes registradas durante a Fase 1</w:t>
            </w:r>
          </w:p>
          <w:p>
            <w:pPr>
              <w:spacing w:after="70"/>
            </w:pPr>
            <w:r>
              <w:t xml:space="preserve">B-01: o critério legal de aferição do limite de dispensa (Lei 14.133/2021, art. 75, § 1º) é o exercício financeiro, a unidade gestora e o ramo de atividade, e não a janela de 180 dias por fornecedor desta versão. A proposta de separar a regra em B-01a (aderente ao texto legal) e B-01b (padrão estatístico complementar) aguarda revisão metodológica e jurídica (ADR-022). Nenhuma regra da família B é implementada antes dela.</w:t>
            </w:r>
          </w:p>
          <w:p>
            <w:pPr>
              <w:spacing w:after="70"/>
            </w:pPr>
            <w:r>
              <w:t xml:space="preserve">Quem autorizou o ato: a API do PNCP não publica o agente (ADR-017). Regra cuja explicação pública dependa dessa informação só pode publicar com fonte complementar (diário oficial ou portal do ente).</w:t>
            </w:r>
          </w:p>
          <w:p>
            <w:pPr>
              <w:spacing w:after="70"/>
            </w:pPr>
            <w:r>
              <w:t xml:space="preserve">Família K: dados eleitorais entram só como contexto factual (ADR-024). A K-01 depende da prestação de contas de campanha do TSE, fonte ainda não integrada.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20" w:before="280"/>
      </w:pPr>
      <w:r>
        <w:t xml:space="preserve">1.1 Anatomia de uma regra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e versão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Identidade estável; alteração de parâmetro gera nova versão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Linha de base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referência contra a qual se compara: mediana, grupo de pares ou limite legal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Condição de disparo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Expressão determinística sobre dados normalizados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Valores calibráveis, versionados junto com a regra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Ponto de partida do cálculo de severidade final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Explicação pública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neutro, em linguagem acessível, aprovado editorialmente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Evidência exigida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Quais documentos precisam existir para a regra poder publicar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Situações legítimas que disparam a regra e exigem atenção do revisor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t xml:space="preserve">1.2 Ordem de execução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3714750" cy="81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1. Do artefato coletado ao indício publicado, com os dois pontos de descarte.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2. Família A — Anomalia de preço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Detecta valores unitários que destoam do praticado para o mesmo item. Depende integralmente da normalização de itens por catálogo: sem classificar o item, não há comparação possível.</w:t>
      </w:r>
    </w:p>
    <w:p>
      <w:pPr>
        <w:pStyle w:val="Heading3"/>
        <w:keepNext/>
        <w:keepLines/>
        <w:spacing w:after="100" w:before="220"/>
      </w:pPr>
      <w:r>
        <w:t xml:space="preserve">A-01 — Preço unitário distante da mediana do item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Este item foi contratado por valor muito acima do que outros entes pagaram pelo mesmo item no mesmo período?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Escore robusto baseado em mediana e desvio absoluto mediano (MAD), que resiste a valores extremos: escore = 0,6745 × (valor_unitário − mediana) ÷ MAD, calculado por item de catálogo, faixa regional e trimestre.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Escore mínimo de disparo: 3,5. Mínimo de 30 observações comparáveis. Valor total mínimo do item para considerar.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ItemContratado com catalogo_item_id preenchido; série histórica de preços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Média; sobe para alta quando o escore ultrapassa 6 e o valor total é relevante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de catálogo mal classificado agrupando produtos diferentes; especificação técnica superior legítima; compra emergencial em contexto de escassez; região com custo logístico muito superior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A-02 — Preço acima de tabela referencial oficial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preço supera a referência publicada pelo próprio governo para aquele tipo de item?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Comparação direta com tabela de referência aplicável ao objeto, com margem de tolerância percentual configurável.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Tolerância inicial de 15% sobre a referência vigente na data do contrato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classificado; tabela de referência correspondente à data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Alta, por se tratar de comparação com parâmetro oficial e não com estimativa estatística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 desatualizada frente à inflação do período; item com especificação distinta da referência; custo de instalação ou serviço embutido no preço unitário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A-03 — Divergência entre ata de registro de preços e contratação efetiva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ente contratou acima do preço que ele próprio registrou em ata vigente?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Confronto entre valor unitário contratado e valor registrado em ata vigente do mesmo ente para o mesmo item.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Divergência mínima de 10% para disparo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Atas do PNCP; itens contratados classificados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Ata vencida na data da contratação; reajuste contratual previsto e aplicado; item similar porém distinto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A-04 — Mesmo fornecedor, mesmo item, preços muito distintos entre entes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 mesmo fornecedor cobra valores substancialmente diferentes de entes diferentes pelo mesmo item no mesmo período?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Coeficiente de variação dos preços do par fornecedor e item entre entes, dentro de janela trimestral.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Coeficiente de variação acima de 0,4 com pelo menos 3 entes distintos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Itens classificados; fornecedor resolvido por raiz de CNPJ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Diferença real de volume contratado; custo logístico entre regiões distantes; prazos de entrega diferentes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3. Família B — Fracionamento e padrões de valor pequeno</w:t>
      </w:r>
    </w:p>
    <w:tbl>
      <w:tblPr>
        <w:tblW w:type="dxa" w:w="9600"/>
        <w:tblBorders>
          <w:top w:val="single" w:color="548235" w:sz="6"/>
          <w:left w:val="single" w:color="548235" w:sz="18"/>
          <w:bottom w:val="single" w:color="548235" w:sz="6"/>
          <w:right w:val="single" w:color="548235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EAF3E3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A família mais importante deste catálogo</w:t>
            </w:r>
          </w:p>
          <w:p>
            <w:pPr>
              <w:spacing w:after="70"/>
            </w:pPr>
            <w:r>
              <w:t xml:space="preserve">Esta é a família que atende diretamente à preocupação com valores pequenos que escondem padrões. Nenhuma das regras abaixo consegue disparar olhando um documento isolado: todas dependem de agregar o conjunto. É precisamente por isso que esses padrões sobrevivem à fiscalização tradicional, que examina processos individualmente.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contexto legal é objetivo. A Lei 14.133/2021 permite contratação direta por dispensa abaixo de determinados valores, atualizados anualmente por decreto. Para 2026, o Decreto 12.807/2025 fixou os limites em R$ 130.984,20 para obras e serviços de engenharia (art. 75, I) e R$ 65.492,11 para demais compras e serviços (art. 75, II). Esses valores são parâmetros configuráveis do sistema, com vigência datada, e precisam ser atualizados a cada decreto anual.</w:t>
      </w:r>
    </w:p>
    <w:p>
      <w:pPr>
        <w:pStyle w:val="Heading3"/>
        <w:keepNext/>
        <w:keepLines/>
        <w:spacing w:after="100" w:before="220"/>
      </w:pPr>
      <w:r>
        <w:t xml:space="preserve">B-01 — Fracionamento por agregação de objeto e fornecedor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Várias contratações diretas pequenas, somadas, correspondem a uma contratação que teria exigido licitação?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Agrupar contratações diretas do mesmo ente, mesmo fornecedor e objeto similar dentro de janela móvel; somar os valores e comparar a soma com o limite legal aplicável ao tipo de objeto.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Janela de 180 dias. Similaridade de objeto acima de 0,80. Disparo quando a soma ultrapassa o limite legal vigente na data.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ProcessoContratacao com modalidade de dispensa; amparo legal; objeto; fornecedor resolvido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Objetos genuinamente distintos com descrição textual parecida; contratações em unidades gestoras autônomas do mesmo ente, cujos limites são contados separadamente; ata de registro de preços legítima</w:t>
            </w:r>
          </w:p>
        </w:tc>
      </w:tr>
    </w:tbl>
    <w:p>
      <w:pPr>
        <w:spacing w:after="150"/>
      </w:pPr>
    </w:p>
    <w:tbl>
      <w:tblPr>
        <w:tblW w:type="dxa" w:w="9600"/>
        <w:tblBorders>
          <w:top w:val="single" w:color="BF8F00" w:sz="6"/>
          <w:left w:val="single" w:color="BF8F00" w:sz="18"/>
          <w:bottom w:val="single" w:color="BF8F00" w:sz="6"/>
          <w:right w:val="single" w:color="BF8F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FF6E0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B-01 em revisão (ADR-022)</w:t>
            </w:r>
          </w:p>
          <w:p>
            <w:pPr>
              <w:spacing w:after="70"/>
            </w:pPr>
            <w:r>
              <w:t xml:space="preserve">A janela móvel de 180 dias por fornecedor não é o critério do art. 75, § 1º, que soma o despendido no exercício financeiro pela unidade gestora com objetos do mesmo ramo de atividade, e o § 2º dobra os limites para consórcios públicos e agências executivas. Esta definição fica suspensa até a revisão.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  <w:spacing w:after="100" w:before="220"/>
      </w:pPr>
      <w:r>
        <w:t xml:space="preserve">B-02 — Concentração de valores imediatamente abaixo do limite legal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Os valores de contratação deste ente se acumulam de forma atípica logo abaixo do limite de dispensa?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Análise de agrupamento na distribuição de valores. Compara-se a frequência observada na faixa imediatamente inferior ao limite com a frequência esperada pela distribuição suavizada do próprio ente.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Faixa de análise de 90% a 100% do limite. Razão observado sobre esperado acima de 2,5. Mínimo de 20 contratações no exercício.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Valores de contratações diretas; limites legais datados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Média; alta quando a razão supera 4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que efetivamente planeja compras para caber no limite, prática administrativamente questionável mas não necessariamente ilícita; poucos dados gerando artefato estatístico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B-03 — Sequência recorrente de dispensas com o mesmo fornecedor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mesmo fornecedor vem sendo contratado por dispensa de forma repetida e regular, como se houvesse contrato contínuo?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Contagem de dispensas por par ente e fornecedor no exercício, com análise da regularidade dos intervalos entre contratações. Regularidade alta sugere relação continuada tratada como eventos isolados.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Mínimo de 6 dispensas no exercício e coeficiente de variação dos intervalos abaixo de 0,35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Processos de dispensa com data e fornecedor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Fornecedor único de item especializado na região; compras genuinamente eventuais que por acaso ficaram regulares; ente pequeno com poucos fornecedores disponíveis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B-04 — Múltiplas contratações do mesmo objeto na mesma data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ente emitiu, no mesmo dia, várias contratações diretas do mesmo objeto que somadas superariam o limite?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Agrupamento por ente, data e objeto similar, com soma dos valores confrontada ao limite legal.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Mesma data; similaridade de objeto acima de 0,85; soma acima do limite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Processos de contratação com data e objeto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Alta, por ser padrão de difícil justificativa operacional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Empenhos distintos de um mesmo processo licitatório regular; fontes de recurso diferentes exigindo documentos separados por exigência contábil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4. Família C — Concentração de fornecedores</w:t>
      </w:r>
    </w:p>
    <w:p>
      <w:pPr>
        <w:pStyle w:val="Heading3"/>
        <w:keepNext/>
        <w:keepLines/>
        <w:spacing w:after="100" w:before="220"/>
      </w:pPr>
      <w:r>
        <w:t xml:space="preserve">C-01 — Concentração de mercado elevada por categoria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contratações de determinada categoria neste ente se concentram excessivamente em poucos fornecedores?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Índice de Herfindahl-Hirschman calculado sobre a participação em valor de cada fornecedor, por ente e categoria: HHI = soma dos quadrados das participações percentuais.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HHI acima de 2.500 com no mínimo 10 contratações e valor total relevante na categoria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Contratos por ente, categoria e fornecedor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 isoladamente; média quando combinada com regras das famílias D ou E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Mercado naturalmente concentrado; município pequeno com poucos fornecedores locais; categoria com barreira técnica legítima de entrada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C-02 — Fornecedor dominante no ente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 único fornecedor concentra parcela desproporcional do valor contratado pelo ente?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Participação percentual do fornecedor no valor total contratado pelo ente no exercício, comparada à participação típica do maior fornecedor nos entes do grupo de pares.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Participação acima de 30% e acima do percentil 95 do grupo de pares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Contratos agregados por ente e fornecedor; grupo de pares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único de grande vulto, como obra ou concessão, distorcendo o percentual; terceirização ampla de serviço contínuo concentrada em um prestador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C-03 — Dependência do fornecedor em relação ao ente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Este fornecedor tem praticamente um único cliente público, que é justamente este ente?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Participação do ente na receita pública total identificada do fornecedor, considerando todas as fontes coletadas.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Acima de 90% da receita pública identificada, com valor absoluto mínimo e ao menos 12 meses de histórico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Contratos do fornecedor em todos os entes cobertos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 incompleta do Lumen produzindo dependência aparente; empresa genuinamente local e pequena; fornecedor recém-entrante ainda sem diversificação</w:t>
            </w:r>
          </w:p>
        </w:tc>
      </w:tr>
    </w:tbl>
    <w:p>
      <w:pPr>
        <w:spacing w:after="150"/>
      </w:pPr>
    </w:p>
    <w:p>
      <w:pPr>
        <w:pStyle w:val="Heading1"/>
        <w:keepNext/>
        <w:keepLines/>
        <w:spacing w:after="160" w:before="380"/>
      </w:pPr>
      <w:r>
        <w:t xml:space="preserve">5. Família D — Perfil societário do fornecedor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família depende da base pública de CNPJ da Receita Federal e produz os indícios de maior sensibilidade do sistema, porque tocam pessoas jurídicas identificadas. Por isso, todas as regras da família D exigem revisão humana antes de qualquer publicação, independentemente do score.</w:t>
      </w:r>
    </w:p>
    <w:p>
      <w:pPr>
        <w:pStyle w:val="Heading3"/>
        <w:keepNext/>
        <w:keepLines/>
        <w:spacing w:after="100" w:before="220"/>
      </w:pPr>
      <w:r>
        <w:t xml:space="preserve">D-01 — Fornecedor constituído pouco antes da contratação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empresa foi aberta em prazo muito curto antes de ser contratada?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Diferença entre a data de abertura do estabelecimento e a data de assinatura do contrato.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Menos de 90 dias, com valor de contrato acima de patamar mínimo configurável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Fornecedor com data_abertura; contrato com data de assinatura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 nova legítima disputando e vencendo regularmente; reorganização societária que gerou novo CNPJ para operação preexistente; filial recém-aberta de empresa antiga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D-02 — Capital social desproporcional ao valor contratado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capital social declarado é muito pequeno frente ao porte do contrato assumido?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Razão entre valor do contrato e capital social do fornecedor.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Razão acima de 50, com valor de contrato acima de patamar mínimo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Fornecedor com capital_social; valor do contrato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 isoladamente; média quando combinada com D-01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Capital social desatualizado no registro, situação extremamente comum; setores de serviço com baixa necessidade de capital; empresa com patrimônio real muito superior ao capital registrado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D-03 — Atividade econômica incompatível com o objeto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CNAE do fornecedor guarda relação com aquilo que ele foi contratado para fornecer?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Mapeamento entre categoria do objeto contratado e conjunto de CNAEs compatíveis, considerando atividade principal e secundárias do estabelecimento.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Nenhuma compatibilidade encontrada entre o objeto e os CNAEs registrados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Fornecedor com CNAE; objeto classificado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CNAE desatualizado; empresa com atuação ampla legítima não refletida no cadastro; classificação imprecisa do objeto pelo próprio sistema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D-04 — Sócios em comum entre participantes do mesmo processo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Empresas que disputaram a mesma licitação compartilham sócios?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Interseção do quadro societário entre fornecedores participantes de um mesmo processo.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Ao menos um sócio em comum entre dois ou mais participantes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Quadro societário da Receita Federal; lista de participantes do processo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Homonímia de sócios sem verificação por documento; participação societária minoritária e irrelevante; grupo econômico formalmente declarado e admitido no edital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D-05 — Endereço coincidente entre participantes do mesmo processo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Empresas concorrentes no mesmo processo estão registradas no mesmo endereço?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Comparação de hash do endereço normalizado entre participantes, sem expor o endereço.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Coincidência exata do endereço normalizado entre dois ou mais participantes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Estabelecimentos da Receita Federal; participantes do processo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Endereços de escritórios compartilhados e coworking, causa muito frequente; prédios comerciais com muitas empresas onde a normalização não distingue a unidade; empresas familiares no mesmo imóvel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6. Família E — Anomalias processuais</w:t>
      </w:r>
    </w:p>
    <w:p>
      <w:pPr>
        <w:pStyle w:val="Heading3"/>
        <w:keepNext/>
        <w:keepLines/>
        <w:spacing w:after="100" w:before="220"/>
      </w:pPr>
      <w:r>
        <w:t xml:space="preserve">E-01 — Uso de contratação direta acima do padrão do grupo de pares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Este ente recorre a dispensa e inexigibilidade muito mais que entes semelhantes?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 do valor contratado por dispensa ou inexigibilidade sobre o total, comparado à distribuição do grupo de pares.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Acima do percentil 90 do grupo, com mínimo de contratações no exercício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Processos por modalidade; grupo de pares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Situação emergencial declarada e legítima, como calamidade; ente com perfil de compra atípico por natureza da atividade; grupo de pares mal formado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E-02 — Aditivos acima do limite legal de acréscimo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Os aditivos elevaram o valor do contrato além do que a lei permite acrescer?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Soma dos acréscimos sobre o valor inicial, confrontada com o percentual legal aplicável ao tipo de objeto.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Percentuais conforme o art. 125 da Lei 14.133/2021, parametrizados por tipo de objeto e datados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com valor inicial; aditivos com valores e datas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Alta, por comparar com limite objetivo de lei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Reajuste contratual e repactuação, que não constituem acréscimo de objeto e não entram no limite; valor inicial registrado incorretamente na fonte; contratos sob regime legal anterior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E-03 — Prazo entre publicação e abertura inferior ao mínimo legal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prazo concedido para apresentação de propostas respeitou o mínimo previsto para a modalidade?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Diferença em dias úteis entre publicação do edital e abertura das propostas, comparada ao mínimo da modalidade.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Prazos mínimos por modalidade conforme a legislação vigente, com calendário de dias úteis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 com data de publicação e data de abertura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Republicação de edital com contagem reiniciada; datas registradas incorretamente na fonte; contagem em dias corridos versus úteis conforme o dispositivo aplicável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E-04 — Participante único recorrente em processos competitivos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Processos que deveriam ser competitivos vêm recebendo uma única proposta de forma sistemática?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Proporção de processos competitivos do ente com apenas um participante, comparada ao grupo de pares.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Acima de 50% dos processos e acima do percentil 90 do grupo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Processos com quantidade de participantes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Mercado local restrito em municípios pequenos e remotos; objeto altamente especializado; campo de participantes não preenchido pela fonte e interpretado como um</w:t>
            </w:r>
          </w:p>
        </w:tc>
      </w:tr>
    </w:tbl>
    <w:p>
      <w:pPr>
        <w:spacing w:after="150"/>
      </w:pPr>
    </w:p>
    <w:p>
      <w:pPr>
        <w:pStyle w:val="Heading1"/>
        <w:keepNext/>
        <w:keepLines/>
        <w:spacing w:after="160" w:before="380"/>
      </w:pPr>
      <w:r>
        <w:t xml:space="preserve">7. Família F — Análise forense de dígitos</w:t>
      </w:r>
    </w:p>
    <w:p>
      <w:pPr>
        <w:pStyle w:val="Heading3"/>
        <w:keepNext/>
        <w:keepLines/>
        <w:spacing w:after="100" w:before="220"/>
      </w:pPr>
      <w:r>
        <w:t xml:space="preserve">F-01 — Desvio da distribuição esperada do primeiro dígito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conjunto de valores deste ente se distribui de forma compatível com o que se observa em dados financeiros naturais?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 de aderência à Lei de Benford sobre o primeiro dígito significativo, com estatística qui-quadrado e desvio absoluto médio. Aplicado a conjuntos de valores por ente e exercício.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Mínimo de 500 valores no conjunto; desvio absoluto médio acima do limiar de aderência marginal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Valores de empenho e de contrato agregados por ente e exercício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Baixa; nunca publicada isoladamente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Conjuntos com limite inferior ou superior de valor, que violam a premissa do teste; poucos valores repetidos dominando o conjunto; contratos de valor padronizado por tabela</w:t>
            </w:r>
          </w:p>
        </w:tc>
      </w:tr>
    </w:tbl>
    <w:p>
      <w:pPr>
        <w:spacing w:after="150"/>
      </w:pPr>
    </w:p>
    <w:tbl>
      <w:tblPr>
        <w:tblW w:type="dxa" w:w="960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DEDED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Restrição específica desta regra</w:t>
            </w:r>
          </w:p>
          <w:p>
            <w:pPr>
              <w:spacing w:after="70"/>
            </w:pPr>
            <w:r>
              <w:t xml:space="preserve">A Lei de Benford descreve conjuntos, não transações. Um desvio de aderência não diz nada sobre nenhum contrato individual, e apresentá-lo como se dissesse seria um erro metodológico grave. No Lumen, F-01 nunca gera indício publicável por si só: ela apenas eleva a prioridade do ente na fila de análise interna, para que outras regras sejam examinadas com atenção naquele conjunto.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8. Família G — Padrões temporais</w:t>
      </w:r>
    </w:p>
    <w:p>
      <w:pPr>
        <w:pStyle w:val="Heading3"/>
        <w:keepNext/>
        <w:keepLines/>
        <w:spacing w:after="100" w:before="220"/>
      </w:pPr>
      <w:r>
        <w:t xml:space="preserve">G-01 — Concentração atípica de empenhos no encerramento do exercício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ente concentra empenhos nos últimos dias do ano muito acima do que é usual entre seus pares?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Proporção do valor empenhado nos últimos 15 dias do exercício sobre o total anual, comparada ao grupo de pares.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Acima do percentil 90 do grupo de pares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Empenhos com data e valor; grupo de pares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 a 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Prática orçamentária generalizada e conhecida no setor público brasileiro, o que torna o indicador pouco discriminante isoladamente; liberação tardia de recurso federal fora do controle do ente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G-02 — Inversão na cadeia da despesa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Houve pagamento registrado antes da liquidação correspondente?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Comparação de datas na cadeia empenho, liquidação e pagamento do mesmo documento.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de pagamento anterior à data de liquidação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Cadeia da despesa completa com datas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 de registro na fonte, que é a causa mais frequente; adiantamento legalmente previsto; datas de competência versus datas de caixa registradas de forma inconsistente</w:t>
            </w:r>
          </w:p>
        </w:tc>
      </w:tr>
    </w:tbl>
    <w:p>
      <w:pPr>
        <w:spacing w:after="150"/>
      </w:pPr>
    </w:p>
    <w:p>
      <w:pPr>
        <w:pStyle w:val="Heading1"/>
        <w:keepNext/>
        <w:keepLines/>
        <w:spacing w:after="160" w:before="380"/>
      </w:pPr>
      <w:r>
        <w:t xml:space="preserve">9. Família H — Comparação com o grupo de pares</w:t>
      </w:r>
    </w:p>
    <w:p>
      <w:pPr>
        <w:pStyle w:val="Heading3"/>
        <w:keepNext/>
        <w:keepLines/>
        <w:spacing w:after="100" w:before="220"/>
      </w:pPr>
      <w:r>
        <w:t xml:space="preserve">H-01 — Gasto per capita atípico por função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Quanto este ente gasta por habitante em determinada função, comparado a entes semelhantes?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Despesa por função dividida pela população, posicionada na distribuição do grupo de pares por escore robusto.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Escore robusto acima de 3,0; grupo com no mínimo 15 entes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Despesa por função do SICONFI; população do IBGE; grupo de pares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 a 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que sedia equipamento regional atendendo população de municípios vizinhos, causa muito comum em saúde e educação; classificação funcional divergente entre entes; população desatualizada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H-02 — Variação abrupta na série histórica do próprio ente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gasto do ente nesta rubrica mudou de patamar de forma abrupta em relação à sua própria história?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Comparação do valor do período com a mediana dos períodos anteriores do próprio ente, por escore robusto.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Escore acima de 3,5; mínimo de 8 períodos históricos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Série histórica de despesa por ente e rubrica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 a 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Mudança real e legítima de política pública; obra pontual de grande vulto; reclassificação contábil entre rubricas; efeito inflacionário em série longa não deflacionada</w:t>
            </w:r>
          </w:p>
        </w:tc>
      </w:tr>
    </w:tbl>
    <w:p>
      <w:pPr>
        <w:spacing w:after="150"/>
      </w:pPr>
    </w:p>
    <w:p>
      <w:pPr>
        <w:pStyle w:val="Heading1"/>
        <w:keepNext/>
        <w:keepLines/>
        <w:spacing w:after="160" w:before="380"/>
      </w:pPr>
      <w:r>
        <w:t xml:space="preserve">10. Família I — Conformidade de transparência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família não analisa gasto: analisa o cumprimento do dever legal de publicar. Suas regras são as mais objetivas e as menos contestáveis do catálogo, porque comparam o que foi publicado com o que a lei determina que fosse publicado.</w:t>
      </w:r>
    </w:p>
    <w:p>
      <w:pPr>
        <w:pStyle w:val="Heading3"/>
        <w:keepNext/>
        <w:keepLines/>
        <w:spacing w:after="100" w:before="220"/>
      </w:pPr>
      <w:r>
        <w:t xml:space="preserve">I-01 — Ausência de envio obrigatório a sistema federal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ente deixou de enviar declaração ou relatório cuja remessa é legalmente obrigatória?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Confronto entre a lista de entes existentes e a lista de entes presentes na base federal para o período.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Ausência do ente na base para período já encerrado e vencido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de entes do IBGE; base federal correspondente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extinto ou incorporado; envio realizado fora do prazo e ainda não refletido na consolidação; identificador do ente divergente entre bases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I-02 — Desatualização da publicação obrigatória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informação publicada está dentro da periodicidade exigida pela legislação?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Diferença entre a data do dado mais recente publicado e a data limite legal para aquela periodicidade.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Atraso superior ao prazo legal aplicável, com tolerância operacional configurável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do registro mais recente por ente e tipo de informação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Indisponibilidade técnica temporária do portal; falha do próprio conector do Lumen, que precisa ser descartada antes de atribuir o atraso ao ente</w:t>
            </w:r>
          </w:p>
        </w:tc>
      </w:tr>
    </w:tbl>
    <w:p>
      <w:pPr>
        <w:spacing w:after="150"/>
      </w:pPr>
    </w:p>
    <w:p>
      <w:pPr>
        <w:pStyle w:val="Heading3"/>
        <w:keepNext/>
        <w:keepLines/>
        <w:spacing w:after="100" w:before="220"/>
      </w:pPr>
      <w:r>
        <w:t xml:space="preserve">I-03 — Publicação em formato não legível por máquina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ente publica em formato que permite reutilização, ou apenas em formato que dificulta a análise?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Classificação do formato predominante de publicação por tipo de informação.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Predominância de documento digitalizado sem camada de texto ou de formato não estruturado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Metadados de formato dos artefatos coletados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que oferece exportação estruturada em local não descoberto pelo conector, hipótese que precisa ser verificada manualmente antes de qualquer registro</w:t>
            </w:r>
          </w:p>
        </w:tc>
      </w:tr>
    </w:tbl>
    <w:p>
      <w:pPr>
        <w:spacing w:after="150"/>
      </w:pPr>
    </w:p>
    <w:tbl>
      <w:tblPr>
        <w:tblW w:type="dxa" w:w="960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DEDED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Cuidado essencial nesta família</w:t>
            </w:r>
          </w:p>
          <w:p>
            <w:pPr>
              <w:spacing w:after="70"/>
            </w:pPr>
            <w:r>
              <w:t xml:space="preserve">Antes de registrar qualquer não conformidade, é obrigatório descartar a hipótese de falha do próprio Lumen. Um conector quebrado produz exatamente o mesmo sintoma de um ente que parou de publicar. Por isso o estado indeterminado existe no modelo: quando não é possível distinguir as duas situações, o sistema registra indeterminado e não atribui falha ao ente.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11. Família J — Sanções vigentes</w:t>
      </w:r>
    </w:p>
    <w:p>
      <w:pPr>
        <w:pStyle w:val="Heading3"/>
        <w:keepNext/>
        <w:keepLines/>
        <w:spacing w:after="100" w:before="220"/>
      </w:pPr>
      <w:r>
        <w:t xml:space="preserve">J-01 — Contratação de fornecedor com sanção vigente na data do ato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7700"/>
      </w:tblGrid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 data da contratação, o fornecedor constava em cadastro de sanção que o impedia de contratar?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Interseção temporal entre a vigência da sanção e a data de assinatura do contrato, considerando a abrangência da sanção e o ente contratante.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Parâmetros iniciais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Sanção vigente na data do ato, com abrangência aplicável ao ente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necessários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CEIS, CNEP e CEPIM com datas de vigência; contratos com data de assinatura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 base</w:t>
            </w:r>
          </w:p>
        </w:tc>
        <w:tc>
          <w:tcPr>
            <w:tcW w:type="dxa" w:w="7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Falsos positivos conhecidos</w:t>
            </w:r>
          </w:p>
        </w:tc>
        <w:tc>
          <w:tcPr>
            <w:tcW w:type="dxa" w:w="7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Sanção com abrangência restrita a outro ente ou esfera, o que é determinante e precisa ser verificado; sanção suspensa por decisão judicial; inclusão retroativa no cadastro após a contratação</w:t>
            </w:r>
          </w:p>
        </w:tc>
      </w:tr>
    </w:tbl>
    <w:p>
      <w:pPr>
        <w:spacing w:after="150"/>
      </w:pPr>
    </w:p>
    <w:p>
      <w:pPr>
        <w:pStyle w:val="Heading1"/>
        <w:keepNext/>
        <w:keepLines/>
        <w:spacing w:after="160" w:before="380"/>
      </w:pPr>
      <w:r>
        <w:t xml:space="preserve">12. Família K — Contexto factual, sem publicação autônoma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Regras desta família nunca geram indício publicável. Elas apenas anexam contexto verificável a um indício já originado por outra regra, para que quem for analisar disponha de informação adicional.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4700"/>
        <w:gridCol w:w="4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Contexto anexado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K-01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Fornecedor consta como doador eleitoral em pleito relacionado ao ente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Nunca publicado isoladamente; exibido apenas como dado factual anexo, sem qualquer sugestão de nexo causal</w:t>
            </w:r>
          </w:p>
        </w:tc>
      </w:tr>
      <w:tr>
        <w:trPr>
          <w:cantSplit/>
        </w:trPr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K-02</w:t>
            </w:r>
          </w:p>
        </w:tc>
        <w:tc>
          <w:tcPr>
            <w:tcW w:type="dxa" w:w="4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Fornecedor foi objeto de acórdão de tribunal de contas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Exibido com referência ao acórdão e ao seu desfecho, sem interpretação do Lumen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K-03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apresenta conjunto com baixa aderência a Benford no período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exclusivamente interno, para priorização da fila de análise</w:t>
            </w:r>
          </w:p>
        </w:tc>
      </w:tr>
    </w:tbl>
    <w:p>
      <w:pPr>
        <w:pStyle w:val="Heading1"/>
        <w:keepNext/>
        <w:keepLines/>
        <w:spacing w:after="160" w:before="380"/>
      </w:pPr>
      <w:r>
        <w:t xml:space="preserve">13. Score composto e severidade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Cada disparo gera um score normalizado entre 0 e 1, que combina a intensidade do desvio com a confiabilidade dos dados e a materialidade financeira. A fórmula é deliberadamente simples e auditável, e seus pesos são parâmetros versionados.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score = w_int * intensidade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+ w_conf * confianca_dado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+ w_mat * materialidade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+ w_corr * corroboracao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onde, todos normalizados no intervalo [0, 1]: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intensidade    = quanto o valor observado se afasta da linha de base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(escore robusto truncado, ou razao sobre o limite legal)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confianca_dado = qualidade da evidencia disponivel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(fonte estruturada e completa = 1,0;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extracao de PDF com OCR = 0,5;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campos criticos ausentes reduz proporcionalmente)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materialidade  = relevancia financeira do valor envolvido,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relativizada pelo porte do ente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(um valor pequeno pode ser material em municipio pequeno)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corroboracao   = quantas regras independentes apontam o mesmo alvo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(satura em 3 regras para nao inflar o score)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pesos iniciais: w_int = 0,40  w_conf = 0,25  w_mat = 0,20  w_corr = 0,15</w:t>
            </w:r>
          </w:p>
        </w:tc>
      </w:tr>
    </w:tbl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2600"/>
        <w:gridCol w:w="52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Faixa de score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Tratamento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menor que 0,45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publicada; alimenta estatísticas e priorização interna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 0,45 a 0,70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 na fila de revisão humana; publicável após aprovação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acima de 0,70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Revisão humana obrigatória por dois analistas antes da publicação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materialidade merece destaque porque implementa diretamente a preocupação com valores pequenos: ela é relativizada pelo porte do ente. Uma contratação de valor modesto em um município de cinco mil habitantes pode representar parcela relevante do orçamento e receber materialidade alta, enquanto o mesmo valor absoluto em uma capital receberia materialidade baixa. Sem essa relativização, o sistema reproduziria exatamente o viés de atenção que ele existe para corrigir.</w:t>
      </w:r>
    </w:p>
    <w:p>
      <w:pPr>
        <w:pStyle w:val="Heading1"/>
        <w:keepNext/>
        <w:keepLines/>
        <w:spacing w:after="160" w:before="380"/>
      </w:pPr>
      <w:r>
        <w:t xml:space="preserve">14. Calibração e controle de qualidade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Toda regra nova entra em modo silencioso: executa e registra, mas não publica.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Após acumular volume suficiente, uma amostra aleatória é revisada manualmente para estimar a taxa de falso positivo.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regra só é liberada para publicação quando a taxa estimada de falso positivo fica abaixo do limite definido para sua severidade.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Regras publicadas têm suas métricas acompanhadas continuamente; taxa de descarte na revisão acima do limite dispara revisão de calibração.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Toda alteração de parâmetro gera nova versão e é simulada sobre janela histórica antes de entrar em vigor.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000"/>
        <w:gridCol w:w="4400"/>
        <w:gridCol w:w="3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Taxa máxima aceitável de falso positivo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Amostra mínima para liberação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casos revisados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 casos revisados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 casos revisados</w:t>
            </w:r>
          </w:p>
        </w:tc>
      </w:tr>
    </w:tbl>
    <w:tbl>
      <w:tblPr>
        <w:tblW w:type="dxa" w:w="9600"/>
        <w:tblBorders>
          <w:top w:val="single" w:color="BF8F00" w:sz="6"/>
          <w:left w:val="single" w:color="BF8F00" w:sz="18"/>
          <w:bottom w:val="single" w:color="BF8F00" w:sz="6"/>
          <w:right w:val="single" w:color="BF8F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FF6E0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O falso positivo mais perigoso não é o estatístico</w:t>
            </w:r>
          </w:p>
          <w:p>
            <w:pPr>
              <w:spacing w:after="70"/>
            </w:pPr>
            <w:r>
              <w:t xml:space="preserve">A maior fonte de erro deste tipo de sistema não é a regra mal calibrada: é o dado de origem incorreto. Um valor digitado com casas decimais erradas por um servidor produz um indício de sobrepreço perfeitamente calculado e completamente equivocado. Por isso a revisão humana verifica primeiro se o documento fonte de fato contém o que a regra leu, antes de avaliar o mérito do desvio apontado.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40" w:right="1134" w:bottom="114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00000"/>
        <w:sz w:val="16"/>
        <w:szCs w:val="16"/>
      </w:rPr>
      <w:t xml:space="preserve">Pagina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</w:pPr>
    <w:r>
      <w:rPr>
        <w:color w:val="000000"/>
        <w:sz w:val="16"/>
        <w:szCs w:val="16"/>
      </w:rPr>
      <w:t xml:space="preserve">Projeto Lumen  |  DOC-07 Motor de Detecção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50"/>
      </w:pPr>
    </w:lvl>
    <w:lvl w:ilvl="1" w:tentative="1">
      <w:start w:val="1"/>
      <w:numFmt w:val="bullet"/>
      <w:lvlText w:val="◦"/>
      <w:lvlJc w:val="left"/>
      <w:pPr>
        <w:ind w:left="840" w:hanging="250"/>
      </w:pPr>
    </w:lvl>
    <w:lvl w:ilvl="2" w:tentative="1">
      <w:start w:val="1"/>
      <w:numFmt w:val="bullet"/>
      <w:lvlText w:val="▪"/>
      <w:lvlJc w:val="left"/>
      <w:pPr>
        <w:ind w:left="126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  <w:lvl w:ilvl="1" w:tentative="1">
      <w:start w:val="1"/>
      <w:numFmt w:val="lowerLetter"/>
      <w:lvlText w:val="%2)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 Light" w:cs="Calibri Light" w:eastAsia="Calibri Light" w:hAnsi="Calibri Light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c150a29b0eb3e03bb41d9e45288c2e61d36ac3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DOC-07 - Motor de Detecção</dc:title>
  <dc:creator>Projeto Lumen</dc:creator>
  <dc:description>Catálogo de regras, fórmulas, limiares e tratamento de falso positivo</dc:description>
  <cp:lastModifiedBy>Un-named</cp:lastModifiedBy>
  <cp:revision>1</cp:revision>
  <dcterms:created xsi:type="dcterms:W3CDTF">2026-10-06T10:19:43.434Z</dcterms:created>
  <dcterms:modified xsi:type="dcterms:W3CDTF">2026-10-06T10:19:43.435Z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