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900"/>
      </w:pPr>
      <w:r>
        <w:rPr>
          <w:b/>
          <w:bCs/>
          <w:color w:val="000000"/>
          <w:spacing w:val="60"/>
          <w:sz w:val="26"/>
          <w:szCs w:val="26"/>
        </w:rPr>
        <w:t xml:space="preserve">PROJETO LUMEN</w:t>
      </w:r>
    </w:p>
    <w:p>
      <w:pPr>
        <w:spacing w:after="400"/>
      </w:pPr>
      <w:r>
        <w:rPr>
          <w:color w:val="000000"/>
          <w:sz w:val="20"/>
          <w:szCs w:val="20"/>
        </w:rPr>
        <w:t xml:space="preserve">Monitoramento de contratações e despesas públicas do Brasil</w:t>
      </w:r>
    </w:p>
    <w:p>
      <w:pPr>
        <w:spacing w:after="80"/>
      </w:pPr>
      <w:r>
        <w:rPr>
          <w:b/>
          <w:bCs/>
          <w:color w:val="000000"/>
          <w:sz w:val="22"/>
          <w:szCs w:val="22"/>
        </w:rPr>
        <w:t xml:space="preserve">DOC-09</w:t>
      </w:r>
    </w:p>
    <w:p>
      <w:pPr>
        <w:spacing w:after="140"/>
      </w:pPr>
      <w:r>
        <w:rPr>
          <w:b/>
          <w:bCs/>
          <w:color w:val="000000"/>
          <w:sz w:val="48"/>
          <w:szCs w:val="48"/>
        </w:rPr>
        <w:t xml:space="preserve">Padrões de Código</w:t>
      </w:r>
    </w:p>
    <w:p>
      <w:pPr>
        <w:pBdr>
          <w:bottom w:val="single" w:color="000000" w:sz="8" w:space="14"/>
        </w:pBdr>
        <w:spacing w:after="700"/>
      </w:pPr>
      <w:r>
        <w:rPr>
          <w:i/>
          <w:iCs/>
          <w:color w:val="000000"/>
          <w:sz w:val="24"/>
          <w:szCs w:val="24"/>
        </w:rPr>
        <w:t xml:space="preserve">Convenções, testes, integração contínua e definição de pronto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Projeto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Lumen (nome de trabalho, sujeito a verificação de disponibilidade)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Gaspare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 de setembro de 2026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Situação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Documento base para início de desenvolvimento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Este documento integra o pacote de documentação do Projeto Lumen. Valores legais, limites e endpoints citados foram verificados em fontes oficiais em setembro de 2026 e devem ser reconferidos antes da implementação, pois são atualizados periodicamente por decreto.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Sumário</w:t>
      </w:r>
    </w:p>
    <w:p>
      <w:pPr>
        <w:spacing w:after="120"/>
      </w:pPr>
      <w:r>
        <w:rPr>
          <w:b w:val="false"/>
          <w:bCs w:val="false"/>
          <w:i/>
          <w:iCs/>
          <w:color w:val="000000"/>
          <w:sz w:val="18"/>
          <w:szCs w:val="18"/>
        </w:rPr>
        <w:t xml:space="preserve">Para preencher o sumário, selecione todo o documento (Ctrl+A) e atualize os campos (F9). No Word, também é possível clicar com o botão direito sobre o sumário e escolher Atualizar campo.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1. Convenções de nomenclatura</w:t>
      </w:r>
    </w:p>
    <w:p>
      <w:pPr>
        <w:pStyle w:val="Heading2"/>
        <w:keepNext/>
        <w:keepLines/>
        <w:spacing w:after="120" w:before="280"/>
      </w:pPr>
      <w:r>
        <w:t xml:space="preserve">1.1 Idioma do código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 domínio deste sistema é o direito administrativo brasileiro. Traduzir seus conceitos para o inglês produz ambiguidade e perda de precisão: dispensa de licitação, empenho, liquidação, inexigibilidade e amparo legal não têm equivalente exato, e qualquer tradução obriga o desenvolvedor a fazer o caminho de volta mentalmente toda vez que lê o código.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800"/>
        <w:gridCol w:w="1800"/>
        <w:gridCol w:w="50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Idioma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Entidades de domínio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Português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Termos jurídicos sem equivalente preciso em inglês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Campos do esquema canônico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Português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Correspondência direta com a nomenclatura das fontes oficiais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de detecção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Português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Explicações públicas derivam diretamente dos nomes internos</w:t>
            </w:r>
          </w:p>
        </w:tc>
      </w:tr>
      <w:tr>
        <w:trPr>
          <w:cantSplit/>
        </w:trPr>
        <w:tc>
          <w:tcPr>
            <w:tcW w:type="dxa" w:w="2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Infraestrutura e utilitários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Inglês</w:t>
            </w:r>
          </w:p>
        </w:tc>
        <w:tc>
          <w:tcPr>
            <w:tcW w:type="dxa" w:w="5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Convenção do ecossistema; sem carga de domínio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Bibliotecas de terceiros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Inglês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se traduz o que não é nosso</w:t>
            </w:r>
          </w:p>
        </w:tc>
      </w:tr>
    </w:tbl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correto: o termo juridico preservado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ProcessoContratacao: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amparo_legal: AmparoLegal | None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modalidade: Modalidade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eh_contratacao_direta(self) -&gt; bool: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self.modalidade in (Modalidade.DISPENSA, Modalidade.INEXIGIBILIDADE)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incorreto: traducao que perde precisao juridica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BiddingProcess: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legal_basis: str | None       # "amparo legal" nao e "legal basis"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mode: str                     # "modalidade" tem taxonomia legal fechada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infraestrutura permanece em ingles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S3ArtifactStore(ArtifactStore):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def put(self, key: str, payload: bytes) -&gt; str: ...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1.2 Regras gerais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Convenção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e arquivo Python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processo_contratacao.py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Classe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PascalCase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ProcessoContratacao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Função e variável Python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snake_case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calcular_escore_robusto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Constante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UPPER_SNAKE_CASE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LIMITE_DISPENSA_COMPRAS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 TypeScript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kebab-case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indicio-controller.ts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Função e variável TS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camelCase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buscarIndiciosPorEnte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e coluna SQL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snake_case singular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processo_contratacao, valor_unitario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de regra</w:t>
            </w:r>
          </w:p>
        </w:tc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letra da família + sequencial</w:t>
            </w:r>
          </w:p>
        </w:tc>
        <w:tc>
          <w:tcPr>
            <w:tcW w:type="dxa" w:w="4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B-01, D-04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Especificação de fonte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uf_ente_objeto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sp_campinas_contratos.yaml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1.3 Valores legais nunca ficam no código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Limites de dispensa, percentuais de aditivo e prazos mínimos mudam por decreto. Fixá-los no código significa que uma mudança normativa exige alteração de código, revisão e implantação — e, pior, invalida silenciosamente a reprodução de análises de períodos anteriores.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INCORRETO: valor fixo no codigo, sem vigencia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valor &gt; 65492.11: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disparar_indicio()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CORRETO: parametro datado, consultado pela data do ato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limite = parametros_legais.obter(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chave="dispensa.compras_servicos",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vigente_em=processo.data_publicacao,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processo.valor_estimado &gt; limite.valor: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disparar_indicio(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referencia=limite,          # guarda valor, decreto e vigencia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observado=processo.valor_estimado,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parametros_legais.yaml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dispensa.compras_servicos: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- valor: 65492.11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  vigente_de: 2026-01-01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  fundamento: "Lei 14.133/2021, art. 75, II"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    atualizado_por: "Decreto 12.807/2025"</w:t>
            </w:r>
          </w:p>
        </w:tc>
      </w:tr>
    </w:tbl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Por que isso é requisito e não preferência</w:t>
            </w:r>
          </w:p>
          <w:p>
            <w:pPr>
              <w:spacing w:after="70"/>
            </w:pPr>
            <w:r>
              <w:t xml:space="preserve">Um indício calculado hoje sobre um contrato de 2024 precisa usar o limite vigente em 2024, não o de hoje. Sem parâmetros datados, todo reprocessamento histórico produziria indícios incorretos, e o princípio de reprodutibilidade do DOC-01 seria violado de forma invisível.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2. Verificador de vocabulário controlado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é o componente que transforma a restrição editorial mais importante do projeto em propriedade verificável do sistema, conforme a ADR-007. Ele roda na integração contínua e interrompe o build quando encontra violação.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#!/usr/bin/env python3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"""Verificador de vocabulario controlado (DOC-08, secao 3).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Percorre todo texto destinado ao publico e falha quando encontra termo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que impute conduta ilicita. Roda na integracao continua.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re, sys, unicodedata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Alvos: tudo que pode chegar aos olhos do publico.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ALVOS = [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"packages/portal/**/*.{tsx,ts}",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"packages/api/**/mensagens/*.ts",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"packages/deteccao/regras/**/*.py",   # explicacao_publica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"conteudo/**/*.md",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PROIBIDOS = {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"desvio", "desviou", "fraude", "fraudulento", "fraudar",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"superfaturamento", "superfaturado", "corrupcao", "corrupto",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"suspeito", "suspeita", "irregular", "irregularidade",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"ilegal", "ilicito", "crime", "criminoso", "culpado",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"propina", "lavagem", "esquema", "denuncia", "acusado",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SUGESTOES = {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"desvio": "valor em analise",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"fraude": "padrao atipico identificado",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"superfaturamento": "preco acima da referencia comparada",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"suspeito": "atividade para analise",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"irregularidade": "divergencia em relacao ao parametro",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normalizar(texto: str) -&gt; str: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"""Remove acentos e caixa: 'Corrupção' e 'corrupcao' sao o mesmo termo."""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sem_acento = unicodedata.normalize("NFKD", texto)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sem_acento = "".join(c for c in sem_acento if not unicodedata.combining(c))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sem_acento.lower()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verificar(caminho: Path) -&gt; list[tuple[int, str, str]]: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achados = []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n, linha in enumerate(caminho.read_text(encoding="utf-8").splitlines(), 1):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"lumen:vocabulario-ok" in linha:   # excecao justificada e revisada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normalizada = normalizar(linha)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termo in PROIBIDOS: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# \b evita casar 'desvio' dentro de 'desvio_padrao' (termo estatistico)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re.search(rf"\b{termo}\b", normalizada):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achados.append((n, termo, SUGESTOES.get(termo, "remover o termo")))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achados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main() -&gt; int: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 = 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padrao in ALVOS: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arquivo in Path(".").glob(padrao):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for linha, termo, sugestao := ... :  # ver implementacao completa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print(f"{arquivo}:{linha} termo proibido '{termo}'")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print(f"    use: {sugestao}")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total += 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total: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print(f"\n{total} violacao(oes) de vocabulario controlado. Ver DOC-08.")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sys.exit(main())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Dois detalhes do desenho merecem nota. O primeiro é a normalização de acentos: sem ela, bastaria escrever a palavra com acento para escapar da verificação. O segundo é a delimitação por fronteira de palavra, que evita o falso positivo mais óbvio: desvio padrão é termo estatístico legítimo e aparece com frequência no motor de detecção.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anotação de exceção existe para casos genuínos, como um campo que armazene o texto literal de uma contestação enviada por um ente, que pode conter qualquer palavra. Toda exceção exige justificativa no código e é auditada na revisão.</w:t>
      </w:r>
    </w:p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3. Estratégia de testes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000"/>
        <w:gridCol w:w="3800"/>
        <w:gridCol w:w="1400"/>
        <w:gridCol w:w="24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cobre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 roda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Unitário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Domínio, cálculo de score, transformações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80% mínimo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commit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regra contra casos sintéticos positivos e negativos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100% das regras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commit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de fonte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 esperado de cada fonte externa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fontes com API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Diário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 bruto até indício em base de teste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Fluxos principais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entrega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Ponta a ponta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Casos de uso críticos pelo portal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UC-03, UC-08, UC-11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entrega</w:t>
            </w:r>
          </w:p>
        </w:tc>
      </w:tr>
      <w:tr>
        <w:trPr>
          <w:cantSplit/>
        </w:trPr>
        <w:tc>
          <w:tcPr>
            <w:tcW w:type="dxa" w:w="2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Vocabulário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Ausência de termo proibido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Obrigatório</w:t>
            </w:r>
          </w:p>
        </w:tc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 commit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3.1 Teste de regra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Cada regra do catálogo tem um arquivo de teste com, no mínimo, um caso que deve disparar, um caso que não deve disparar e um caso de falso positivo conhecido documentado no DOC-07. O último é o mais valioso: ele registra no código a limitação já identificada.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test_b01_dispara_quando_soma_ultrapassa_limite():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"""Cinco dispensas de objeto similar, mesmo fornecedor, 180 dias."""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contratacoes = [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dispensa(valor=15_000, objeto="material de expediente", dia=d)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for d in (10, 45, 80, 120, 160)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   # soma = 75.000 &gt; limite de 65.492,11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indicios = executar_regra("B-01", contratacoes, limite=65_492.11)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len(indicios) == 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indicios[0].valores_observados["soma"] == 75_000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indicios[0].valores_observados["limite_aplicado"] == 65_492.11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test_b01_nao_dispara_para_objetos_distintos():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"""Similaridade textual baixa nao deve agrupar."""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contratacoes = [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dispensa(valor=40_000, objeto="material de expediente", dia=10),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dispensa(valor=40_000, objeto="reforma de cobertura escolar", dia=40),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executar_regra("B-01", contratacoes) == []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test_b01_falso_positivo_conhecido_unidades_gestoras_autonomas():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"""DOC-07, B-01: limites sao contados por unidade gestora autonoma.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Documenta a limitacao: sem o dado de autonomia da UG, a regra agrupa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indevidamente. O teste garante que, QUANDO o dado existe, ela respeita.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contratacoes = [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dispensa(valor=40_000, ug="secretaria_saude", autonoma=True, dia=10),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dispensa(valor=40_000, ug="secretaria_educacao", autonoma=True, dia=40),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]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executar_regra("B-01", contratacoes) == []</w:t>
            </w:r>
          </w:p>
        </w:tc>
      </w:tr>
    </w:tbl>
    <w:p>
      <w:pPr>
        <w:pStyle w:val="Heading2"/>
        <w:keepNext/>
        <w:keepLines/>
        <w:spacing w:after="120" w:before="280"/>
      </w:pPr>
      <w:r>
        <w:t xml:space="preserve">3.2 Teste de contrato de fonte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Fontes externas mudam sem aviso. O teste de contrato consome a fonte real diariamente e valida apenas o esquema, não o conteúdo, alarmando quando um campo esperado desaparece ou muda de tipo. É o que transforma a quebra silenciosa da ADR-003 em alarme.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As fixtures são amostras reais capturadas de cada fonte e versionadas no repositório. Elas permitem que todo o pipeline seja testado sem rede, e servem de documentação viva do formato real de cada fonte, que costuma divergir da documentação oficial.</w:t>
      </w:r>
    </w:p>
    <w:p>
      <w:pPr>
        <w:pStyle w:val="Heading1"/>
        <w:keepNext/>
        <w:keepLines/>
        <w:spacing w:after="160" w:before="380"/>
      </w:pPr>
      <w:r>
        <w:t xml:space="preserve">4. Git e integração contínua</w:t>
      </w:r>
    </w:p>
    <w:p>
      <w:pPr>
        <w:pStyle w:val="Heading2"/>
        <w:keepNext/>
        <w:keepLines/>
        <w:spacing w:after="120" w:before="280"/>
      </w:pPr>
      <w:r>
        <w:t xml:space="preserve">4.1 Ramos e commits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Convenção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principal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main, sempre implantável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Ramo de trabalho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tipo/descricao-curta, por exemplo feat/conector-pncp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de commit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Conventional Commits em português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Tipos aceitos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feat, fix, refactor, test, docs, chore, perf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pacote, por exemplo feat(deteccao):</w:t>
            </w:r>
          </w:p>
        </w:tc>
      </w:tr>
      <w:tr>
        <w:trPr>
          <w:cantSplit/>
        </w:trPr>
        <w:tc>
          <w:tcPr>
            <w:tcW w:type="dxa" w:w="24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Tamanho</w:t>
            </w:r>
          </w:p>
        </w:tc>
        <w:tc>
          <w:tcPr>
            <w:tcW w:type="dxa" w:w="7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Um commit por mudança lógica coesa</w:t>
            </w:r>
          </w:p>
        </w:tc>
      </w:tr>
    </w:tbl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feat(deteccao): adiciona regra B-01 de fracionamento por agregacao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Agrupa contratacoes diretas do mesmo ente e fornecedor com objeto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similar em janela de 180 dias e compara a soma com o limite legal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vigente na data de cada ato.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 limite vem de parametros_legais com vigencia datada, para que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reprocessamentos historicos usem o valor correto do periodo.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Ref: DOC-07 familia B, RF-DE-06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mensagem responde por que, não o que: o diff já mostra o que mudou. A referência ao documento e ao requisito mantém a rastreabilidade exigida pelo DOC-02.</w:t>
      </w:r>
    </w:p>
    <w:p>
      <w:pPr>
        <w:pStyle w:val="Heading2"/>
        <w:keepNext/>
        <w:keepLines/>
        <w:spacing w:after="120" w:before="280"/>
      </w:pPr>
      <w:r>
        <w:t xml:space="preserve">4.2 Estágios da integração contínua</w:t>
      </w:r>
    </w:p>
    <w:tbl>
      <w:tblPr>
        <w:tblW w:type="dxa" w:w="96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5600"/>
        <w:gridCol w:w="1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Estágio</w:t>
            </w:r>
          </w:p>
        </w:tc>
        <w:tc>
          <w:tcPr>
            <w:tcW w:type="dxa" w:w="5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Bloqueia?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Formatação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Formatador e organizador de imports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Análise estática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Linter e verificação de tipos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Vocabulário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Verificador do DOC-08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unitários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Suíte completa com cobertura mínima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de regra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regras do catálogo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Segurança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Vulnerabilidade em dependências e segredo vazado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de integração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Pipeline em base de teste</w:t>
            </w:r>
          </w:p>
        </w:tc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 na entrega</w:t>
            </w:r>
          </w:p>
        </w:tc>
      </w:tr>
      <w:tr>
        <w:trPr>
          <w:cantSplit/>
        </w:trPr>
        <w:tc>
          <w:tcPr>
            <w:tcW w:type="dxa" w:w="22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Contrato de fonte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Esquema das fontes externas reais</w:t>
            </w:r>
          </w:p>
        </w:tc>
        <w:tc>
          <w:tcPr>
            <w:tcW w:type="dxa" w:w="1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Não; alarma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60" w:before="380"/>
      </w:pPr>
      <w:r>
        <w:t xml:space="preserve">5. Definição de pronto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Uma entrega só é considerada pronta quando todos os itens abaixo são verdadeiros. A lista é verificada na revisão, não na autoavaliação de quem desenvolveu.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O código atende ao requisito referenciado e o número do requisito consta no commit.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Existem testes cobrindo o caminho feliz, ao menos um caminho de erro e, para regra, o falso positivo conhecido.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integração contínua está verde em todos os estágios bloqueantes.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Nenhum valor legal foi fixado no código; parâmetros datados foram usados.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Textos destinados ao público passaram pelo verificador de vocabulário.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houve decisão arquitetural relevante, existe ADR correspondente.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o esquema canônico mudou, existe migração e os dois lados da fronteira foram atualizados.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uma regra foi adicionada ou alterada, sua explicação pública foi aprovada pelo comitê de metodologia.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 uma fonte foi adicionada, existe fixture versionada e teste de contrato.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Nenhum segredo, credencial ou dado pessoal real foi incluído no repositório.</w:t>
      </w:r>
    </w:p>
    <w:p>
      <w:pPr>
        <w:pStyle w:val="Heading1"/>
        <w:keepNext/>
        <w:keepLines/>
        <w:spacing w:after="160" w:before="380"/>
      </w:pPr>
      <w:r>
        <w:t xml:space="preserve">6. Roteiro de revisão de código</w:t>
      </w:r>
    </w:p>
    <w:p>
      <w:pPr>
        <w:pStyle w:val="Heading2"/>
        <w:keepNext/>
        <w:keepLines/>
        <w:spacing w:after="120" w:before="280"/>
      </w:pPr>
      <w:r>
        <w:t xml:space="preserve">6.1 Específico deste projeto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 texto exibido ao público está em linguagem neutra e evita qualquer inferência sobre conduta?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Valores legais vêm de parâmetro datado, e a consulta usa a data do ato e não a data atual?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 indício produzido carrega regra, versão, parâmetros e ao menos um documento fonte?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transformação preserva a linhagem até o artefato bruto?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Dado pessoal foi minimizado e documento de pessoa física mascarado antes da camada consultável?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regra nova entrou em modo silencioso, e não diretamente em publicação?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Erro de coleta está sendo distinguido de ausência de publicação pelo ente?</w:t>
      </w:r>
    </w:p>
    <w:p>
      <w:pPr>
        <w:pStyle w:val="Heading2"/>
        <w:keepNext/>
        <w:keepLines/>
        <w:spacing w:after="120" w:before="280"/>
      </w:pPr>
      <w:r>
        <w:t xml:space="preserve">6.2 Geral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O nome da função descreve o que ela faz, no vocabulário do domínio?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Há tratamento explícito para dado ausente, que é a situação normal neste projeto?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 operação é idempotente, considerando que todo processamento pode ser repetido?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Há teste que falharia se esta mudança fosse revertida?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Alguma consulta nova varre partição inteira sem filtro por exercício ou ente?</w:t>
      </w:r>
    </w:p>
    <w:p>
      <w:pPr>
        <w:pStyle w:val="Heading1"/>
        <w:keepNext/>
        <w:keepLines/>
        <w:spacing w:after="160" w:before="380"/>
      </w:pPr>
      <w:r>
        <w:t xml:space="preserve">7. Observabilidade no código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Registro estruturado em todo o pipeline, com campos obrigatórios que permitem reconstruir qualquer execução: identificador da execução, fonte, ente, etapa e versão do componente.</w:t>
      </w:r>
    </w:p>
    <w:tbl>
      <w:tblPr>
        <w:tblW w:type="dxa" w:w="9600"/>
        <w:tblBorders>
          <w:top w:val="single" w:color="D0D0D0" w:sz="4"/>
          <w:left w:val="single" w:color="2E75B6" w:sz="12"/>
          <w:bottom w:val="single" w:color="D0D0D0" w:sz="4"/>
          <w:right w:val="single" w:color="D0D0D0" w:sz="4"/>
          <w:insideH w:val="none" w:color="FFFFFF" w:sz="0"/>
          <w:insideV w:val="none" w:color="FFFFFF" w:sz="0"/>
        </w:tblBorders>
      </w:tblPr>
      <w:tblGrid>
        <w:gridCol w:w="9600"/>
      </w:tblGrid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log.info(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"coleta_concluida",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execucao_id=ctx.execucao_id,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fonte=fonte.identificador,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ente_codigo_ibge=fonte.ente.codigo_ibge,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artefatos=len(artefatos),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bytes_total=total_bytes,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duracao_ms=duracao,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versao_spec=fonte.versao_spec,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Metrica que sustenta o alarme mais importante do sistema (DOC-04, secao 8):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volume coletado por fonte, comparado a media movel da propria fonte.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metricas.registrar("lumen.coleta.artefatos", len(artefatos),</w:t>
            </w:r>
          </w:p>
        </w:tc>
      </w:tr>
      <w:t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0"/>
              <w:left w:type="dxa" w:w="120"/>
              <w:bottom w:type="dxa" w:w="2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tags={"fonte": fonte.identificador})</w:t>
            </w:r>
          </w:p>
        </w:tc>
      </w:tr>
    </w:tbl>
    <w:tbl>
      <w:tblPr>
        <w:tblW w:type="dxa" w:w="9600"/>
        <w:tblBorders>
          <w:top w:val="single" w:color="C00000" w:sz="6"/>
          <w:left w:val="single" w:color="C00000" w:sz="18"/>
          <w:bottom w:val="single" w:color="C00000" w:sz="6"/>
          <w:right w:val="single" w:color="C00000" w:sz="6"/>
          <w:insideH w:val="none" w:color="FFFFFF" w:sz="0"/>
          <w:insideV w:val="none" w:color="FFFFFF" w:sz="0"/>
        </w:tblBorders>
      </w:tblPr>
      <w:tblGrid>
        <w:gridCol w:w="9600"/>
      </w:tblGrid>
      <w:tr>
        <w:trPr>
          <w:cantSplit/>
        </w:trPr>
        <w:tc>
          <w:tcPr>
            <w:tcW w:type="dxa" w:w="9600"/>
            <w:shd w:fill="FDEDED" w:val="clear"/>
            <w:tcMar>
              <w:top w:type="dxa" w:w="130"/>
              <w:left w:type="dxa" w:w="170"/>
              <w:bottom w:type="dxa" w:w="130"/>
              <w:right w:type="dxa" w:w="150"/>
            </w:tcMar>
          </w:tcPr>
          <w:p>
            <w:pPr>
              <w:spacing w:after="90"/>
            </w:pPr>
            <w:r>
              <w:rPr>
                <w:b/>
                <w:bCs/>
                <w:color w:val="000000"/>
              </w:rPr>
              <w:t xml:space="preserve">Nunca registrar em log</w:t>
            </w:r>
          </w:p>
          <w:p>
            <w:pPr>
              <w:spacing w:after="70"/>
            </w:pPr>
            <w:r>
              <w:t xml:space="preserve">Documento de pessoa física sem máscara, conteúdo integral de artefato coletado, token de API ou credencial de qualquer natureza. O registro estruturado é lido por ferramentas de observabilidade que podem ter política de acesso distinta da do banco de dados.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40" w:right="1134" w:bottom="114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00000"/>
        <w:sz w:val="16"/>
        <w:szCs w:val="16"/>
      </w:rPr>
      <w:t xml:space="preserve">Pagina </w:t>
    </w:r>
    <w:r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000000"/>
        <w:sz w:val="16"/>
        <w:szCs w:val="16"/>
      </w:rPr>
      <w:t xml:space="preserve"> de </w:t>
    </w:r>
    <w:r>
      <w:rPr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6"/>
      </w:pBdr>
    </w:pPr>
    <w:r>
      <w:rPr>
        <w:color w:val="000000"/>
        <w:sz w:val="16"/>
        <w:szCs w:val="16"/>
      </w:rPr>
      <w:t xml:space="preserve">Projeto Lumen  |  DOC-09 Padrões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50"/>
      </w:pPr>
    </w:lvl>
    <w:lvl w:ilvl="1" w:tentative="1">
      <w:start w:val="1"/>
      <w:numFmt w:val="bullet"/>
      <w:lvlText w:val="◦"/>
      <w:lvlJc w:val="left"/>
      <w:pPr>
        <w:ind w:left="840" w:hanging="250"/>
      </w:pPr>
    </w:lvl>
    <w:lvl w:ilvl="2" w:tentative="1">
      <w:start w:val="1"/>
      <w:numFmt w:val="bullet"/>
      <w:lvlText w:val="▪"/>
      <w:lvlJc w:val="left"/>
      <w:pPr>
        <w:ind w:left="1260" w:hanging="25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280"/>
      </w:pPr>
    </w:lvl>
    <w:lvl w:ilvl="1" w:tentative="1">
      <w:start w:val="1"/>
      <w:numFmt w:val="lowerLetter"/>
      <w:lvlText w:val="%2)"/>
      <w:lvlJc w:val="left"/>
      <w:pPr>
        <w:ind w:left="8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80"/>
    </w:pPr>
    <w:rPr>
      <w:rFonts w:ascii="Calibri Light" w:cs="Calibri Light" w:eastAsia="Calibri Light" w:hAnsi="Calibri Light"/>
      <w:b/>
      <w:bCs/>
      <w:color w:val="00000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 Light" w:cs="Calibri Light" w:eastAsia="Calibri Light" w:hAnsi="Calibri Light"/>
      <w:b/>
      <w:bCs/>
      <w:color w:val="00000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DOC-09 - Padrões de Código</dc:title>
  <dc:creator>Projeto Lumen</dc:creator>
  <dc:description>Convenções, testes, integração contínua e definição de pronto</dc:description>
  <cp:lastModifiedBy>Un-named</cp:lastModifiedBy>
  <cp:revision>1</cp:revision>
  <dcterms:created xsi:type="dcterms:W3CDTF">2026-10-06T10:19:44.018Z</dcterms:created>
  <dcterms:modified xsi:type="dcterms:W3CDTF">2026-10-06T10:19:44.019Z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