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Estratégia do plano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2. Visão geral do cronograma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Fases detalhadas</w:t>
      </w:r>
    </w:p>
    <w:p>
      <w:pPr>
        <w:pStyle w:val="Heading2"/>
        <w:keepNext/>
        <w:keepLines/>
        <w:spacing w:after="120" w:before="280"/>
      </w:pPr>
      <w:r>
        <w:t xml:space="preserve">Fase 0 — Fundação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1 — Espinha dorsal nacional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2 — Motor de detecção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3 — Camada estadual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4 — Cauda longa municipal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5 — Publicação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6 — Consolidação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Marcos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5. Esforço estimado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6. Custos recorrentes estimados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Decisões que precisam ser tomadas antes de começar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é nome de trabalho e precisa passar pela mesma verificação de disponibilidade de marca e domínio já feita para a marca da empresa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8. Critérios de replanejamento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r>
        <w:t xml:space="preserve">9. Situação em 7 de outubro de 2026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r>
        <w:t xml:space="preserve">9.1 Fase 0 — Fundação: concluída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9.2 Fase 1 — Espinha dorsal nacional: núcleo pronto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pronto e normalização 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 (exige token)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iniciado. A hospedagem está decidida (ADR-026); faltam o projeto no Supabase e levar a coleta de contratações para a nuvem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9.3 Trilha paralela: aba Eleições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Implementado e testado: publicação no R2 só do que mudou, carga retomável no GitHub Actions, portal no Cloudflare Pages. Faltam as contas e os segredos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depende do nome definitivo (seção 7)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9.4 Efeito no cronograma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domínio, que depende do nome definitivo (seção 7).</w:t>
      </w:r>
    </w:p>
    <w:p>
      <w:pPr>
        <w:pStyle w:val="Heading2"/>
        <w:keepNext/>
        <w:keepLines/>
        <w:spacing w:after="120" w:before="280"/>
      </w:pPr>
      <w:r>
        <w:t xml:space="preserve">9.5 Hospedagem sem custo (ADR-026)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2026-10-07T09:48:09.520Z</dcterms:created>
  <dcterms:modified xsi:type="dcterms:W3CDTF">2026-10-07T09:48:09.521Z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