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1.4</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16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r>
        <w:t xml:space="preserve">Sumário</w:t>
      </w:r>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keepNext/>
        <w:keepLines/>
        <w:spacing w:after="160" w:before="380"/>
      </w:pPr>
      <w:r>
        <w:t xml:space="preserve">1. Estratégia de cobertura</w:t>
      </w:r>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r>
        <w:t xml:space="preserve">2. Camada 1 — Fontes federais estruturadas</w:t>
      </w:r>
    </w:p>
    <w:p>
      <w:pPr>
        <w:pStyle w:val="Heading2"/>
        <w:keepNext/>
        <w:keepLines/>
        <w:spacing w:after="120" w:before="280"/>
      </w:pPr>
      <w:r>
        <w:t xml:space="preserve">2.1 PNCP — Portal Nacional de Contratações Públicas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r>
        <w:t xml:space="preserve">Recursos relevantes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r>
        <w:t xml:space="preserve">Comportamento real observado (outubro de 2026)</w:t>
      </w:r>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r>
        <w:t xml:space="preserve">2.2 SICONFI — Tesouro Nacional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r>
        <w:t xml:space="preserve">Comportamento real observado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r>
        <w:t xml:space="preserve">2.3 Portal da Transparência — CGU</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r>
        <w:t xml:space="preserve">2.4 Receita Federal — base pública de CNPJ</w:t>
      </w:r>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r>
        <w:t xml:space="preserve">2.5 Demais fontes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r>
        <w:t xml:space="preserve">2.6 TSE — resultados eleitorais (aba Eleições)</w:t>
      </w:r>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r>
        <w:t xml:space="preserve">2.7 IBGE — localidades, população e malhas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r>
        <w:t xml:space="preserve">2.8 Referência de mercado de fora do governo (regra A-05)</w:t>
      </w:r>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r>
        <w:t xml:space="preserve">3. Camada 2 — Estados e tribunais de contas</w:t>
      </w:r>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r>
        <w:t xml:space="preserve">4. Camada 3 — Municípios</w:t>
      </w:r>
    </w:p>
    <w:p>
      <w:pPr>
        <w:pStyle w:val="Heading2"/>
        <w:keepNext/>
        <w:keepLines/>
        <w:spacing w:after="120" w:before="280"/>
      </w:pPr>
      <w:r>
        <w:t xml:space="preserve">4.1 Abordagem por família de plataforma</w:t>
      </w:r>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r>
        <w:t xml:space="preserve">4.2 Cauda longa</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r>
        <w:t xml:space="preserve">4.3 Especificação declarativa de fonte</w:t>
      </w:r>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r>
        <w:t xml:space="preserve">5. Política de coleta responsável</w:t>
      </w:r>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r>
        <w:t xml:space="preserve">6. Matriz de cobertura esperada por fase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r>
        <w:t xml:space="preserve">7. Situação da integração (outubro de 2026)</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Normalização na Fase 2</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r>
        <w:t xml:space="preserve">8. Registro de fontes</w:t>
      </w:r>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2026-10-16T14:33:54.639Z</dcterms:created>
  <dcterms:modified xsi:type="dcterms:W3CDTF">2026-10-16T14:33:54.639Z</dcterms:modified>
</cp:coreProperties>
</file>

<file path=docProps/custom.xml><?xml version="1.0" encoding="utf-8"?>
<Properties xmlns="http://schemas.openxmlformats.org/officeDocument/2006/custom-properties" xmlns:vt="http://schemas.openxmlformats.org/officeDocument/2006/docPropsVTypes"/>
</file>