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Estratégia do plano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2. Visão geral do cronograma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Fases detalhadas</w:t>
      </w:r>
    </w:p>
    <w:p>
      <w:pPr>
        <w:pStyle w:val="Heading2"/>
        <w:keepNext/>
        <w:keepLines/>
        <w:spacing w:after="120" w:before="280"/>
      </w:pPr>
      <w:r>
        <w:t xml:space="preserve">Fase 0 — Fundação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1 — Espinha dorsal nacional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2 — Motor de detecção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3 — Camada estadual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4 — Cauda longa municipal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5 — Publicação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6 — Consolidação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Marcos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5. Esforço estimado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6. Custos recorrentes estimados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Decisões que precisam ser tomadas antes de começar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é nome de trabalho e precisa passar pela mesma verificação de disponibilidade de marca e domínio já feita para a marca da empresa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8. Critérios de replanejamento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r>
        <w:t xml:space="preserve">9. Situação em 9 de outubro de 2026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r>
        <w:t xml:space="preserve">9.1 Fase 0 — Fundação: concluída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9.2 Fase 1 — Espinha dorsal nacional: núcleo pronto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pronto e normalização 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demais conjuntos da CGU (despesas, convênios, emendas) pendentes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(ADR-031), a cada carga do painel; calibração e revisão pendentes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iniciado. A hospedagem está decidida (ADR-026); faltam o projeto no Supabase e levar a coleta de contratações para a nuvem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9.3 Trilha paralela: aba Eleições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Implementado e testado: publicação no R2 só do que mudou, carga retomável no GitHub Actions, portal no Cloudflare Pages. Faltam as contas e os segredos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depende do nome definitivo (seção 7)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9.4 Efeito no cronograma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domínio, que depende do nome definitivo (seção 7).</w:t>
      </w:r>
    </w:p>
    <w:p>
      <w:pPr>
        <w:pStyle w:val="Heading2"/>
        <w:keepNext/>
        <w:keepLines/>
        <w:spacing w:after="120" w:before="280"/>
      </w:pPr>
      <w:r>
        <w:t xml:space="preserve">9.5 Hospedagem sem custo (ADR-026)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2026-10-16T14:33:55.920Z</dcterms:created>
  <dcterms:modified xsi:type="dcterms:W3CDTF">2026-10-16T14:33:55.920Z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