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99 arquivos de código, 18.234 linhas e 980 declarações documentadas, em 11 pacotes. Mais 42 arquivos de teste com 562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164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372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338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233 linhas · 14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249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137 linhas · 3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444 linhas · 29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.</w:t>
      </w:r>
    </w:p>
    <w:p>
      <w:pPr>
        <w:spacing w:after="80"/>
      </w:pPr>
      <w:r>
        <w:t xml:space="preserve">A série semestral só sai depois que o semestre fecha. Para o presente, a ANP publica na página do levantamento das últimas semanas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A série de combustíveis tem o caso conhecido de 2022-1 (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); a de GLP segue o mesmo padrão de nome (</w:t>
      </w:r>
      <w:r>
        <w:rPr>
          <w:rFonts w:ascii="Consolas" w:cs="Consolas" w:eastAsia="Consolas" w:hAnsi="Consolas"/>
          <w:sz w:val="19"/>
          <w:szCs w:val="19"/>
        </w:rPr>
        <w:t xml:space="preserve">glp-AAAA-0S</w:t>
      </w:r>
      <w:r>
        <w:t xml:space="preserve">), a conferir pelo teste de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399)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242 linhas · 10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177 linhas · 7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510 linhas · 24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157 linhas · 7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2026-10-09T11:30:28.653Z</dcterms:created>
  <dcterms:modified xsi:type="dcterms:W3CDTF">2026-10-09T11:30:28.653Z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