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DOC-05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Modelo de Dados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Esquema canônico, dicionário de dados e resolução de identidade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Atualizado com o bloco de fatos implementado na Fase 1 (ADR-016, ADR-017) e as sanções da CGU (ADR-030)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Princípios do modelo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Existe um único esquema canônico. Toda fonte converge para ele, e nenhuma particularidade de fonte vaza para o modelo.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registro carrega proveniência. É sempre possível responder de qual artefato bruto aquele dado veio e quando foi coletado.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modelo separa o fato administrativo da interpretação. Contrato, empenho e ato autorizativo são fatos publicados. Indício é interpretação do sistema, e vive em entidades próprias.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Campos ausentes são explicitamente nulos e nunca preenchidos por inferência. Ausência é informação e alimenta o índice de conformidade.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campo possui classificação de sensibilidade, que governa exibição, exportação e retenção.</w:t>
      </w:r>
    </w:p>
    <w:p>
      <w:pPr>
        <w:pStyle w:val="Heading1"/>
        <w:keepNext/>
        <w:keepLines/>
        <w:spacing w:after="160" w:before="380"/>
      </w:pPr>
      <w:r>
        <w:t xml:space="preserve">2. Diagrama entidade-relacionamento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601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Modelo canônico: entidades de fato administrativo, entidades de análise e cadeia de evidência.</w:t>
      </w:r>
    </w:p>
    <w:p>
      <w:pPr>
        <w:pStyle w:val="Heading2"/>
        <w:keepNext/>
        <w:keepLines/>
        <w:spacing w:after="120" w:before="280"/>
      </w:pPr>
      <w:r>
        <w:t xml:space="preserve">2.1 Os três blocos do modelo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4300"/>
        <w:gridCol w:w="34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Bloco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Entidades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Natureza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Fato administrativo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Ente, UnidadeGestora, ProcessoContratacao, Contrato, Aditivo, ItemContratado, Empenho, Liquidacao, Pagamento, AtoAutorizativo, AmparoLegal, AgentePublico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Reflete o que o ente publicou; o Lumen não altera nem interpreta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Contexto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Fornecedor, Socio, Sancao, CatalogoItem, GrupoPares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Enriquecimento a partir de outras bases públicas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e prova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Indicio, RegraDeteccao, Evidencia, DocumentoFonte, Contestacao, Conformidade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Produzido pelo Lumen; sempre rastreável até o fato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 entidade que atende ao requisito de quem autorizou e por quê</w:t>
            </w:r>
          </w:p>
          <w:p>
            <w:pPr>
              <w:spacing w:after="70"/>
            </w:pPr>
            <w:r>
              <w:t xml:space="preserve">AtoAutorizativo é a entidade que liga um processo de contratação a um AgentePublico identificado e a um AmparoLegal. O campo justificativa_publicada recebe, sem edição, o texto de justificativa divulgado pelo próprio ente. O sistema nunca redige, resume ou interpreta esse texto: apenas o preserva e o exibe ao lado do dispositivo legal invocado.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Dicionário de dados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Notação de sensibilidade usada na coluna de descrição: P indica dado público de ato administrativo; PA indica dado de agente público no exercício da função; S indica dado sensível sujeito a mascaramento.</w:t>
      </w:r>
    </w:p>
    <w:p>
      <w:pPr>
        <w:pStyle w:val="Heading2"/>
        <w:keepNext/>
        <w:keepLines/>
        <w:spacing w:after="120" w:before="280"/>
      </w:pPr>
      <w:r>
        <w:t xml:space="preserve">3.1 Bloco de fato administrativo</w:t>
      </w:r>
    </w:p>
    <w:p>
      <w:pPr>
        <w:pStyle w:val="Heading3"/>
        <w:keepNext/>
        <w:keepLines/>
        <w:spacing w:after="100" w:before="220"/>
      </w:pPr>
      <w:r>
        <w:t xml:space="preserve">Ente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Unidade da federação ou órgão público analisado. Chave natural é o código IBGE para municípios e o CNPJ para os demais.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CHAR(14)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do ente quando publicado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codigo_ibge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CHAR(7)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IBGE para municípios e estados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oficial do ente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esfera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uniao, estadual, municipal, distrital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poder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executivo, legislativo, judiciario, autonomo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uf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CHAR(2)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federativa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populacao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População estimada, base IBGE, usada no grupo de pares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populacional derivada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receita_corrente_liquida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Origem SICONFI; usada no grupo de pares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grupo_pares_id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de comparação calculado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ProcessoContratacao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Processo que antecede o contrato: licitação, dispensa ou inexigibilidade. Principal origem é o PNCP.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responsável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unidade_gestora_id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que conduziu o processo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processo na origem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SMALLINT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Exercício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pregao, concorrencia, dispensa, inexigibilidade, concurso, leilao, dialogo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amparo_legal_id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invocado; campo estruturado no PNCP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 do objeto conforme publicada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valor_estimado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estimado publicado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data_publicacao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publicação na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data_abertura_propostas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Usada para verificar prazos legais mínimos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quantidade_participantes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propostas; insumo de regras de concorrência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AtoAutorizativo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Ato pelo qual um agente público autoriza a contratação ou a despesa. Atende diretamente ao requisito de registrar quem autorizou e com que fundamento.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de contratação vinculado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vinculado, quando o ato é posterior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autorizacao, homologacao, ratificacao, adjudicacao, ordenacao_despesa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 signatário (PA)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amparo_legal_id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legal invocado no ato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justificativa_publicada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de justificativa exatamente como publicado, sem edição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AgentePublico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Agente que assinou atos administrativos. Registra-se apenas o que é publicado no exercício da função. Não há construção de perfil comportamental.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conforme publicado no ato (PA)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Cargo ou função declarada no ato (PA)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ao qual o ato se vincula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documento_mascarado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CPF mascarado quando publicado pela fonte (S)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Contrato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Instrumento firmado entre ente e fornecedor.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de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contratante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contrato na origem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 conforme publicado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valor_inicial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na assinatura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valor_atual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após aditivos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data_assinatura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assinatura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vigencia_inicio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da vigência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vigencia_fim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da vigência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vigente, encerrado, rescindido, suspenso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ItemContratado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Item individual de um contrato. É a entidade mais volumosa do modelo e a base das regras de preço.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ao qual pertence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descricao_original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 exatamente como publicada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catalogo_item_id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normalizada, base CATMAT ou CATSER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 contratada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unidade_medida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normalizada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valor_unitario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Preço unitário; base das regras da família 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valor_total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total do item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Empenho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Primeiro estágio da despesa. Liquidacao e Pagamento seguem estrutura análoga e encadeada.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responsável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vinculado, quando existir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Credor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empenho na origem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emissão; base das regras de sazonalidade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empenhado; base das regras de fracionamento e Benford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elemento_despesa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orçamentária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Função de governo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subfuncao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Subfunção de governo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modalidade_licitacao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 declarada no empenho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2"/>
        <w:keepNext/>
        <w:keepLines/>
        <w:spacing w:after="120" w:before="280"/>
      </w:pPr>
      <w:r>
        <w:t xml:space="preserve">3.2 Bloco de contexto</w:t>
      </w:r>
    </w:p>
    <w:p>
      <w:pPr>
        <w:pStyle w:val="Heading3"/>
        <w:keepNext/>
        <w:keepLines/>
        <w:spacing w:after="100" w:before="220"/>
      </w:pPr>
      <w:r>
        <w:t xml:space="preserve">Fornecedor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Pessoa jurídica ou física contratada. Enriquecido com a base pública de CNPJ da Receita Federal.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cnpj_cpf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Documento; CPF sempre mascarado na exibição (S quando PF)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razao_social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social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nome_fantasia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fantasia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data_abertura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empresa recém-constituída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capital_social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desproporção entre capital e contrato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cnae_principal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CHAR(7)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incompatibilidade de objeto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MEI, ME, EPP, demais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situacao_cadastral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 na Receita Federal na data da consulta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endereco_hash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do endereço normalizado, para detectar coincidência sem expor o endereço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Sancao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Sanção ou impedimento num cadastro da CGU (CEIS, CNEP, CEPIM), como publicado, num retrato diário do cadastro (implementado na Fase 1, ADR-030).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interno: cadastro + código da sanção (no CEPIM, CNPJ + convênio)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CEIS, CNEP, CEPIM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data_referencia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Dia do retrato do cadastro; o que está no cadastro hoje é o retrato mais recente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mesmo id do fornecedor no PNCP (CNPJ; CPF mascarado mais nome)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inteiro; CPF sempre mascarado (S)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tipo_pessoa, nome, razao_social_receita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Como publicados; razão social só de pessoa jurídica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Categoria da sanção; no CEPIM, o motivo do impedimento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numero_processo, numero_convenio, valor_multa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TEXT, 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Processo; convênio (CEPIM); multa (CNEP)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data_inicio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da sanção; obrigatório no CEIS e no CNEP, ausente no CEPIM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data_fim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da sanção; nulo quando sem prazo determinado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data_publicacao, data_transito_julgado, data_origem_informacao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Datas publicadas pela CGU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abrangencia, orgao_sancionador, uf_orgao_sancionador, esfera_orgao_sancionador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TEXT, 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da sanção e quem a aplicou; base da regra J-01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fundamentacao_legal, origem_informacao, meio_publicacao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Como publicados (P)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GrupoPares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Conjunto de entes comparáveis, recalculado periodicamente.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criterios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Critérios que definiram o grupo, para reprodutibilidade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faixa_populacional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usada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Região usada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quantidade_entes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 do grupo; abaixo do mínimo estatístico gera ressalva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calculado_em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cálculo</w:t>
            </w:r>
          </w:p>
        </w:tc>
      </w:tr>
    </w:tbl>
    <w:p>
      <w:pPr>
        <w:spacing w:after="140"/>
      </w:pPr>
    </w:p>
    <w:p>
      <w:pPr>
        <w:pStyle w:val="Heading2"/>
        <w:keepNext/>
        <w:keepLines/>
        <w:spacing w:after="120" w:before="280"/>
      </w:pPr>
      <w:r>
        <w:t xml:space="preserve">3.3 Bloco de análise e prova</w:t>
      </w:r>
    </w:p>
    <w:p>
      <w:pPr>
        <w:pStyle w:val="Heading3"/>
        <w:keepNext/>
        <w:keepLines/>
        <w:spacing w:after="100" w:before="220"/>
      </w:pPr>
      <w:r>
        <w:t xml:space="preserve">DocumentoFonte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Artefato bruto preservado na camada bronze. É a prova que sustenta qualquer afirmação do sistema.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url_origem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URL efetiva após redirecionamentos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caminho_objeto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Localização no armazenamento de objetos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sha256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CHAR(64)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do conteúdo; reconferido a cada leitura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 de mídia recebido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tamanho_bytes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BIGINT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 do artefato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Momento exato da coleta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cabecalhos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Cabeçalhos de resposta relevantes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 cadastrada que originou a coleta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da coleta desta URL; nunca sobrescreve a anterior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RegraDeteccao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Definição versionada de uma regra do catálogo do DOC-07.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codigo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estável, por exemplo B-01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Versão; alterações de parâmetro geram nova versão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familia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CHAR(1)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Família do catálogo, de A a K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titulo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Título em linguagem neutra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explicacao_publica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Explicação acessível exibida ao cidadão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parametros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vigentes desta versão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severidade_base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baixa, media, alta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participa dos ciclos de detecção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vigente_desde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de vigência da versão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Indicio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Sinalização produzida por uma regra. Nunca contém conclusão sobre licitude.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regra_codigo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que produziu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regra_versao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exata da regra na execução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relacionado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alvo_tipo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contrato, empenho, processo, fornecedor_no_ente, ente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alvo_id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do objeto analisado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Score composto normalizado entre 0 e 1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baixa, media, alta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Conforme a máquina de estados da seção 4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parametros_aplicados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efetivamente usados nesta execução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valores_observados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que dispararam a regra e a referência comparada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neutro gerado a partir de modelo aprovado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Momento da detecção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revisado_por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responsável pela decisão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justificativa_decisao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Motivo registrado da publicação ou do descarte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Evidencia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Vínculo entre um indício e os documentos que o sustentam. Um indício sem evidência não pode ser publicado.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sustentado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que sustenta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papel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principal, comparacao, contexto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trecho_referencia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Localização do trecho relevante dentro do documento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Contestacao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Manifestação formal de ente ou fornecedor sobre um indício publicado.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contestado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público da contestação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ente, fornecedor, terceiro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vinculo_comprovado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o solicitante comprovou vínculo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Manifestação como enviada, sem edição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Anexos apresentados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recebida_em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recebimento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marcada_publicamente_em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Quando o indício passou a exibir a marcação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desfecho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mantido, retificado, removido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do cumprimento das obrigações legais de publicação por um 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avaliado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criterio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 avaliado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dispositivo_legal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que fundamenta a obrigação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cumpre, cumpre_parcialmente, nao_cumpre, indeterminado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motivo_indeterminado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Usado quando houve indisponibilidade técnica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da avaliação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Ciclo de vida do indício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estado de um indício é controlado por máquina de estados explícita. Transições não previstas são rejeitadas pelo domínio, o que impede, por exemplo, que um indício seja publicado sem passar pela revisão quando a severidade exige.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40576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Máquina de estados do indício, da detecção ao encerramento.</w:t>
      </w:r>
    </w:p>
    <w:p>
      <w:pPr>
        <w:pStyle w:val="Heading1"/>
        <w:keepNext/>
        <w:keepLines/>
        <w:spacing w:after="160" w:before="380"/>
      </w:pPr>
      <w:r>
        <w:t xml:space="preserve">5. Identidade e resolução de entidades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Resolver identidade é um dos pontos mais delicados do modelo. Grafias divergentes, CNPJ ausente e mudanças de razão social são a norma, não a exceção.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2700"/>
        <w:gridCol w:w="50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 preferencial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Estratégia quando a chave falta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IBGE, depois CNPJ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nome normalizado restrita à mesma UF, com revisão manual em caso de ambiguidade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completo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raiz de CNPJ mantendo filiais distinguíveis; pessoa física por documento mascarado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mais número mais exercício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adicional por objeto, fornecedor e valor quando o número não é publicado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de catálogo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Similaridade textual sobre descrição normalizada, com faixa de confiança registrada no próprio registro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mais ente mais período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unificação automática entre entes distintos; homônimos permanecem separados por decisão de projeto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chaves efetivamente usadas na Fase 1, onde a fonte já entrega um identificador estável, estão na seção 8.2.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Decisão deliberada sobre agentes públicos</w:t>
            </w:r>
          </w:p>
          <w:p>
            <w:pPr>
              <w:spacing w:after="70"/>
            </w:pPr>
            <w:r>
              <w:t xml:space="preserve">O sistema não unifica automaticamente o mesmo nome entre entes diferentes. Unificar homônimos sem documento identificador criaria associações incorretas entre pessoas distintas, com potencial de dano reputacional. O custo aceito é a fragmentação do histórico de um mesmo agente entre entes.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6. Qualidade de dados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regras de qualidade rodam na transição de bronze para silver. Registros reprovados vão para quarentena com o motivo, sem interromper o lote, e são revisados periodicamente.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4400"/>
        <w:gridCol w:w="33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Dimensão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 na falha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Completude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Campos obrigatórios do esquema canônico presentes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com o campo faltante registrado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Validade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com dígito verificador válido, datas coerentes, valores não negativos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com o teste que falhou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Consistência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total do contrato compatível com a soma dos itens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Aceita com marcação de inconsistência; não bloqueia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Temporalidade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ato dentro do exercício declarado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para conferência manual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Unicidade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de duplicata pela chave de identidade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Deduplicação com preservação da proveniência de cada ocorrência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Chaves estrangeiras resolvidas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mantido com vínculo pendente e nova tentativa no ciclo seguinte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7. Particionamento e retenção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4400"/>
        <w:gridCol w:w="34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Particionamento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fonte, ano e mês de coleta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Permanente; é a prova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Silver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entidade, exercício e unidade federativa (JSON Lines na Fase 1, ADR-016)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Regerável; retida enquanto útil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Gold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exercício e tipo de agregado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Recalculada a cada mudança de regra ou linha de base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particionamento na fase inicial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Permanente, com backup testado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mês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 e somente-anexação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r>
        <w:t xml:space="preserve">8. Implementação da Fase 1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descrevem o modelo de destino. Esta seção registra o que a Fase 1 implementou ao consumir as fontes reais (PNCP, SICONFI e IBGE) e onde a implementação diverge do dicionário, com o motivo (ADR-017). O código está em packages/canonico e packages/normalizacao; a descrição função por função, no DOC-11.</w:t>
      </w:r>
    </w:p>
    <w:p>
      <w:pPr>
        <w:pStyle w:val="Heading2"/>
        <w:keepNext/>
        <w:keepLines/>
        <w:spacing w:after="120" w:before="280"/>
      </w:pPr>
      <w:r>
        <w:t xml:space="preserve">8.1 Do modelo conceitual às entidades implementadas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2700"/>
        <w:gridCol w:w="46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 do dicionário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 Fase 1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EnteFederativo, Orgao, UnidadeGestora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Separados porque o PNCP identifica o órgão pelo CNPJ e a unidade pelo código; o ente vem do código IBGE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ProcessoContratacao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ProcessoContratacao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Inclui modo de disputa, registro de preço, valores estimado e homologado, situação e sistema de origem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ItemContratado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ItemContratacao e ResultadoItem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item pertence ao processo; o resultado (fornecedor, valor homologado) é registro próprio, porque um item pode ter mais de um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inicial, global, de parcela e acumulado, como o PNCP publica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AmparoLegal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AmparoLegal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do PNCP ligado ao parâmetro legal datado (parametro_limite)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AtaRegistroPreco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Nova: atas de registro de preço do PNCP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Conformidade (insumo)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EntregaSiconfi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Nova: o que cada ente entregou ao SICONFI, base da família I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AtoAutorizativo, AgentePublico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preenchidas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API do PNCP não publica quem autorizou o ato (seção 8.3)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Empenho, Liquidacao, Pagamento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preenchidas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Dependem do Portal da Transparência e de fontes estaduais (fases seguintes)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Fornecedor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Identificador e documento no resultado e no contrato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entidade completa depende da base de CNPJ da Receita (pendente)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8.2 Identidade determinística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id de todo registro de fato é um UUID versão 5 calculado a partir de um espaço de nomes fixo do projeto e da chave natural do registro. O mesmo dado coletado duas vezes recebe o mesmo id, em qualquer máquina: a normalização é idempotente e a silver inteira pode ser reconstruída do bronze sem deixar indício órfão. Chave com parte nula ou vazia é recusada, porque daria o mesmo id a registros diferentes.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6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 natural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EnteFederativo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IBGE (1 para a União, 2 dígitos para estados, 7 para municípios)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Orgao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UnidadeGestora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 do órgão e código da unidade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AmparoLegal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"pncp" e o código do amparo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ProcessoContratacao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ItemContratacao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 do processo e número do item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ResultadoItem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numeroControlePNCP, número do item e sequencial do resultado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Contrato, AtaRegistroPreco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 do próprio instrumento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EntregaSiconfi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IBGE, instituição, entregável, exercício e período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Fornecedor (pessoa jurídica)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Fornecedor (pessoa física)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CPF mascarado e nome — nunca o CPF inteiro, que seria recuperável por força bruta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8.3 Divergências registradas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Agente que autorizou o ato: ausente na fonte. O campo usuarioNome do PNCP é a plataforma de software que enviou os dados, guardada em sistema_origem. A exigência editorial de mostrar quem praticou o ato depende de fonte complementar (diário oficial ou portal do ente).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Esfera ou poder não informados (valor N na fonte) viram nulo com marcação; o ente não é adivinhado a partir do CNPJ.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Limite de dispensa: vem do código do amparo e do parâmetro legal datado. A descrição publicada pelo PNCP ainda cita os valores originais da lei e nunca é lida como limite.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CNPJ alfanumérico: o dígito verificador já é calculado no formato alfanumérico adotado pela Receita Federal (valor do caractere = código ASCII − 48).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Sensibilidade por campo: cada entidade declara a classe de cada campo, conferida na construção; CPF sai sempre mascarado.</w:t>
      </w:r>
    </w:p>
    <w:p>
      <w:pPr>
        <w:pStyle w:val="Heading2"/>
        <w:keepNext/>
        <w:keepLines/>
        <w:spacing w:after="120" w:before="280"/>
      </w:pPr>
      <w:r>
        <w:t xml:space="preserve">8.4 Quarentena e marcações de qualidade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Linha que não pode virar registro canônico (campo obrigatório ausente, valor ilegível, data fora de qualquer exercício plausível) vai para a quarentena com fonte, artefato, chave, posição, campo e valor recebido (truncado); o resto do artefato segue. Linha aproveitável com ressalva entra na silver com marcações de qualidade, que acompanham o registro até a tela: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Marcação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esfera_nao_informada, poder_nao_informado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 fonte publica N (não informado)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ente_nao_resolvido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há como determinar o ente com segurança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codigo_ibge_ausente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sem código IBGE onde ele seria esperado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valor_estimado_zero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estimado publicado como zero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valor_homologado_ausente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Sem valor homologado publicado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valor_total_diverge_itens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total do processo diferente da soma dos itens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documento_fornecedor_invalido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CPF ou CNPJ do fornecedor com dígito verificador inválido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cnpj_orgao_invalido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 do órgão inválido; o campo fica nulo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modalidade_desconhecida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de modalidade fora do domínio oficial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8.5 Armazenamento da silver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 a silver é gravada em JSON Lines, no mesmo particionamento Hive previsto para o Parquet (entidade/exercicio=AAAA/uf=XX/), sem dependência nova (ADR-015, ADR-016). Cada artefato do bronze vira exatamente um arquivo por partição, com nome derivado do identificador do artefato, regravado por troca atômica: reprocessar produz os mesmos bytes. Cada linha leva a versão do normalizador e o instante da coleta.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mesmo registro aparece em mais de um artefato (coleta por publicação e por atualização, por exemplo); a silver guarda todas as ocorrências, cada uma com a sua proveniência. A visão consolidada escolhe uma por id: a de atualizado_em mais recente, depois a coleta mais recente. A regra existe em Python (silver.consolidar) e como macro do DuckDB (packages/normalizacao/sql/silver_consolidada.sql), e um teste confere que as duas escolhem as mesmas linhas. A conversão para Parquet é um passo de compactação futuro que não muda nenhum contrato.</w:t>
      </w:r>
    </w:p>
    <w:p>
      <w:pPr>
        <w:pStyle w:val="Heading2"/>
        <w:keepNext/>
        <w:keepLines/>
        <w:spacing w:after="120" w:before="280"/>
      </w:pPr>
      <w:r>
        <w:t xml:space="preserve">8.6 Banco de domínio (migração 0001)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PostgreSQL guarda só o que é transacional e de prova; o fato administrativo em volume fica na silver e na gold (ADR-005). Três garantias são impostas pelo próprio banco, além da aplicação: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Garantia</w:t>
            </w:r>
          </w:p>
        </w:tc>
        <w:tc>
          <w:tcPr>
            <w:tcW w:type="dxa" w:w="6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o banco impõe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e auditoria somente-anexação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Gatilhos recusam alteração e remoção em documento_fonte, evidencia, aprovacao_indicio, transicao_indicio e trilha_auditoria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Indício só publicado com evidência e revisores distintos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Máquina de estados por gatilho (transições permitidas em tabela); aprovação por revisor, nunca "sistema", com o número mínimo pela severidade; o conteúdo do indício é imutável (só estado e protocolo mudam) e ele não pode ser apagado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 indeterminada exige motivo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Restrição de verificação na tabela conformidade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Defesa em profundidade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 aplicação conecta com o papel lumen_app, que não recebe UPDATE nem DELETE nas tabelas de prova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Tabelas: migracao, fonte, documento_fonte, grupo_pares, ente_federativo, orgao, regra_deteccao, indicio, evidencia, aprovacao_indicio, transicao_indicio, transicao_permitida, contestacao, conformidade e trilha_auditoria. Os testes de migração rodam contra PostgreSQL 16 no CI.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DOC-05 Modelo de Dados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3e7167499cbc2a57c39a646a3153a979bc13b9b.png"/><Relationship Id="rId10" Type="http://schemas.openxmlformats.org/officeDocument/2006/relationships/image" Target="media/fb71f6b93db7dd5b41403a850f717ff63aa0602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DOC-05 - Modelo de Dados</dc:title>
  <dc:creator>Projeto Lumen</dc:creator>
  <dc:description>Esquema canônico, dicionário de dados e resolução de identidade</dc:description>
  <cp:lastModifiedBy>Un-named</cp:lastModifiedBy>
  <cp:revision>1</cp:revision>
  <dcterms:created xsi:type="dcterms:W3CDTF">2026-10-16T10:59:58.683Z</dcterms:created>
  <dcterms:modified xsi:type="dcterms:W3CDTF">2026-10-16T10:59:58.683Z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