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119 arquivos de código, 24.714 linhas e 1279 declarações documentadas, em 12 pacotes. Mais 53 arquivos de teste com 708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15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175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438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34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262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167 linhas · 11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776 linhas · 23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689)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4.8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109 linhas · 4 declarações</w:t>
      </w:r>
    </w:p>
    <w:p>
      <w:pPr>
        <w:spacing w:after="80"/>
      </w:pPr>
      <w:r>
        <w:t xml:space="preserve">Normalização das respostas do SICONFI (cadastro de entes e extrato de entregas).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185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104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243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lumen_mercado/xlsx.py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9.10 lumen_mercado/xlsx.py</w:t>
      </w:r>
    </w:p>
    <w:p>
      <w:pPr>
        <w:spacing w:after="100"/>
      </w:pPr>
      <w:r>
        <w:rPr>
          <w:sz w:val="17"/>
          <w:szCs w:val="17"/>
        </w:rPr>
        <w:t xml:space="preserve">packages/mercado/lumen_mercado/xlsx.py · Python · 129 linhas · 7 declarações</w:t>
      </w:r>
    </w:p>
    <w:p>
      <w:pPr>
        <w:spacing w:after="80"/>
      </w:pPr>
      <w:r>
        <w:t xml:space="preserve">Leitura de planilhas .xlsx só com a biblioteca padrão (ADR-015), para os arquivos semanais da ANP.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255 linhas · 13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144 linhas · 9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362 linhas · 19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Obrigações avaliadas (exercício anterior inteiro e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list[int], estado: Path | str, *, coletar=None, normalizar=None, 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nos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 e grava o estado da UF.</w:t>
      </w:r>
    </w:p>
    <w:p>
      <w:pPr>
        <w:spacing w:after="80"/>
      </w:pPr>
      <w:r>
        <w:t xml:space="preserve">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363 linhas · 22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 de um ente;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 de um órgão: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332)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179 linhas · 8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quando cortado).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 e confere a versão; 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61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vão sem compressão; o GitHub Pages comprime na entrega a quem aceita gzip.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contratacoes/ente/&lt;código&gt;.json   um ente: União (1), estado (2 dígitos), DF (53) ou município (7 dígitos)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contratacoes/orgao/&lt;CNPJ&gt;.json    um órgão: prefeitura, câmara, autarquia, fundação ou empresa pública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598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598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292)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656 linhas · 31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391)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488)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621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532 linhas · 45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290)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319)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403)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431)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454)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475)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494)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500)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508)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529)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39 linhas · 1 declarações</w:t>
      </w:r>
    </w:p>
    <w:p>
      <w:pPr>
        <w:spacing w:after="80"/>
      </w:pPr>
      <w:r>
        <w:t xml:space="preserve">Página inicial do portal: apresenta o Lumen e leva às três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Conformidade), com o estado de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46 linhas · 1 declarações</w:t>
      </w:r>
    </w:p>
    <w:p>
      <w:pPr>
        <w:spacing w:after="80"/>
      </w:pPr>
      <w:r>
        <w:t xml:space="preserve">Cabeçalho do portal, presente em todas as páginas. É componente de cliente porque marca a aba atual pelo caminho da página (</w:t>
      </w:r>
      <w:r>
        <w:rPr>
          <w:rFonts w:ascii="Consolas" w:cs="Consolas" w:eastAsia="Consolas" w:hAnsi="Consolas"/>
          <w:sz w:val="19"/>
          <w:szCs w:val="19"/>
        </w:rPr>
        <w:t xml:space="preserve">usePathname</w:t>
      </w:r>
      <w:r>
        <w:t xml:space="preserve">),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Lumen: a marca e as abas. Cada aba é uma área do portal.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16 linhas · 1 declarações</w:t>
      </w: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103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158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694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OpcaoEleicao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OpcaoEleicao({ e }: { e: EleicaoIndice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eleição no seletor,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109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104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326 linhas · 8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604 linhas · 7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onEnte }: { dados: ContratacoesPanorama; onEnte: (codigo: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485)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Orgao({ dados, onEnte }: { dados: ContratacoesOrgao; onEnte: (codigo: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(a entrada historico da execução manual passa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eleição, disparo manual com o id: ao-vivo --nuvem, publicando a cada passada.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2026-10-16T11:00:00.662Z</dcterms:created>
  <dcterms:modified xsi:type="dcterms:W3CDTF">2026-10-16T11:00:00.662Z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