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DOC-02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Requisitos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Requisitos funcionais e não-funcionais, numerados e rastreáveis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requisito tem um código único e permanente. Códigos não são reaproveitados: se um requisito for removido, seu código é aposentado. O prefixo indica o módulo, o que permite rastrear um requisito até o caso de uso (DOC-03), o componente de arquitetura (DOC-04) e o teste que o cobre (DOC-09).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2600"/>
        <w:gridCol w:w="5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Prefixo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5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Obter dados brutos das fontes e preservá-los como prova</w:t>
            </w:r>
          </w:p>
        </w:tc>
      </w:tr>
      <w:t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Converter qualquer fonte para o esquema canônico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Enriquecimento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Agregar contexto: societário, catálogo, grupo de pares</w:t>
            </w:r>
          </w:p>
        </w:tc>
      </w:tr>
      <w:t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Executar regras e produzir indícios com evidência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Conformidade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cumprimento das obrigações de transparência</w:t>
            </w:r>
          </w:p>
        </w:tc>
      </w:tr>
      <w:t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Publicação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 dados e indícios ao público com linguagem controlada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Direito de resposta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Receber, tratar e publicar contestações</w:t>
            </w:r>
          </w:p>
        </w:tc>
      </w:tr>
      <w:t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Administração</w:t>
            </w:r>
          </w:p>
        </w:tc>
        <w:tc>
          <w:tcPr>
            <w:tcW w:type="dxa" w:w="5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Operar o sistema: fontes, regras, revisão, auditoria</w:t>
            </w:r>
          </w:p>
        </w:tc>
      </w:tr>
      <w:t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Não-funcional</w:t>
            </w:r>
          </w:p>
        </w:tc>
        <w:tc>
          <w:tcPr>
            <w:tcW w:type="dxa" w:w="5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Qualidades transversais do sistema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coluna Prioridade usa MoSCoW: M obrigatório para a versão 1.0, S importante, C desejável, W adiado para versão futura.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2. Requisitos funcionais</w:t>
      </w:r>
    </w:p>
    <w:p>
      <w:pPr>
        <w:pStyle w:val="Heading2"/>
        <w:spacing w:after="120" w:before="280"/>
      </w:pPr>
      <w:r>
        <w:t xml:space="preserve">2.1 Módulo de Coleta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contratações, contratos, atas e planos de contratação do PNCP por data de publicação e por data de atualização global, suportando coleta incremental.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RREO, RGF e DCA do SICONFI para todos os entes e exercícios disponíveis.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despesas, convênios, emendas parlamentares e cadastros de sanção do Portal da Transparência da CGU.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ingerir a base pública de CNPJ da Receita Federal, incluindo quadro societário, CNAE e capital social.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coleta deve armazenar o artefato bruto exatamente como recebido, sem qualquer transformação.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artefato bruto deve ser gravado com URL de origem, hash SHA-256, carimbo de tempo e cabeçalhos de resposta.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Artefatos brutos devem ser imutáveis. Nova coleta da mesma URL gera nova versão, nunca sobrescrita.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respeitar limites de taxa configuráveis por fonte, com valor padrão conservador.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identificar-se em todas as requisições com User-Agent próprio contendo nome do projeto e canal de contato.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suportar conectores declarativos, definidos em arquivo de especificação, sem necessidade de novo código.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extrair dados estruturados de PDF, incluindo PDF baseado em imagem, por meio de OCR.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extrair dados de planilhas XLSX, XLS, CSV e de tabelas em HTML.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upload manual supervisionado de documentos obtidos por pedido de acesso à informação.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Falha de coleta deve ser registrada com causa classificada, distinguindo indisponibilidade temporária de ausência de publicação.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retentar coletas falhas com espera exponencial e limite máximo de tentativas por janela.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não deve tentar contornar CAPTCHA, autenticação ou qualquer controle técnico de acesso.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mudança de esquema na fonte e alarmar sem interromper a coleta das demais fontes.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RF-CO-18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coletar dados de doações e candidaturas do repositório de dados abertos do TSE.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pStyle w:val="Heading2"/>
        <w:spacing w:after="120" w:before="280"/>
      </w:pPr>
      <w:r>
        <w:t xml:space="preserve">2.2 Módulo de Normalização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converter todo dado coletado para o esquema canônico definido no DOC-05.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registro normalizado deve manter referência ao artefato bruto que o originou.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resolver identidade de fornecedores por CNPJ raiz e filial, tratando grafias divergentes de razão social.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resolver identidade de entes por código IBGE e CNPJ, tratando variações de nome.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deduplicar registros que apareçam em mais de uma fonte, preservando a proveniência de cada ocorrência.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normalizar valores monetários, datas e unidades de medida para formatos únicos.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classificar itens contratados segundo catálogo de referência, permitindo comparação entre entes.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Registros que não passem nas regras de qualidade devem ser isolados em quarentena, com o motivo, sem bloquear o lote.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aplicar classificação de sensibilidade a cada campo, conforme política do DOC-08.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mascarar documentos de pessoa física antes de qualquer gravação em camada consultável.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normalização deve ser idempotente: reprocessar o mesmo artefato produz exatamente o mesmo resultado.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reprocessar todo o histórico a partir da camada bruta, sem recoletar das fontes.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spacing w:after="120" w:before="280"/>
      </w:pPr>
      <w:r>
        <w:t xml:space="preserve">2.3 Módulo de Enriquecimento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vincular cada fornecedor ao seu quadro societário, CNAE principal, capital social e data de abertura.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calcular, para cada ente, um grupo de pares com base em porte populacional, região e receita corrente líquida.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manter séries históricas por ente, fornecedor e item para servir de linha de base.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medianas de preço unitário por item, região e período.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identificar sócios em comum entre fornecedores distintos.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vincular fornecedores a sanções vigentes nos cadastros CEIS, CNEP e CEPIM.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o agente público signatário de cada ato autorizativo, quando publicado pela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o amparo legal invocado em cada contratação, quando publicado pela fonte.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spacing w:after="120" w:before="280"/>
      </w:pPr>
      <w:r>
        <w:t xml:space="preserve">2.4 Módulo de Detecção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executar o catálogo de regras definido no DOC-07 sobre a base normalizada.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regra deve ser versionada, e cada indício deve registrar a versão da regra que o produziu.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indício deve registrar os parâmetros usados e os valores de entrada que levaram ao disparo.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indício deve referenciar ao menos um documento fonte com hash verificável.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valores atípicos para cima, comparando preço unitário com a mediana do mesmo item.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fracionamento de despesa por agregação de contratações de mesmo objeto e fornecedor em janela temporal.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anômala de valores imediatamente abaixo de limite legal de dispensa.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de contratos em um único fornecedor por ente e categoria.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contratação de fornecedor com sanção vigente na data do ato.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fornecedor constituído em prazo muito curto antes da contratação.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incompatibilidade entre CNAE do fornecedor e objeto contratado.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aplicar teste de aderência à Lei de Benford sobre conjuntos de valores por ente e período.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desvio relevante de gasto per capita em relação ao grupo de pares.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concentração atípica de empenhos no encerramento do exercício.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detectar aditivos que elevem o valor do contrato acima dos percentuais previstos em lei.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um score composto e uma severidade para cada indício.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Indícios com severidade acima do limiar configurado devem entrar obrigatoriamente em fila de revisão humana antes de qualquer publicação.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simular uma regra sobre dados históricos sem publicar resultado, para calibração.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RF-DE-19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indícios descartados com o motivo, para realimentar a calibração das regras.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RF-DE-20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não deve produzir, em nenhum campo, texto que afirme ou sugira a ocorrência de ilícito.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spacing w:after="120" w:before="280"/>
      </w:pPr>
      <w:r>
        <w:t xml:space="preserve">2.5 Módulo de Conformidade de Transparência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verificar, por ente, a existência de publicação nas fontes federais obrigatórias.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 a atualidade da publicação em relação à periodicidade exigida pela legislação.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classificar o formato de publicação quanto à legibilidade por máquina.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verificar a presença dos campos mínimos exigidos pela Lei de Acesso à Informação.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calcular um índice de conformidade por ente, com metodologia pública e auditável.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ausência de dado obrigatório deve gerar indício de descumprimento, com citação do dispositivo legal.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índice deve distinguir explicitamente indisponibilidade técnica temporária de ausência persistente de publicação.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manter histórico do índice, permitindo observar evolução ou deterioração ao longo do tempo.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pStyle w:val="Heading2"/>
        <w:spacing w:after="120" w:before="280"/>
      </w:pPr>
      <w:r>
        <w:t xml:space="preserve">2.6 Módulo de Publicação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painel por ente com panorama de contratações, despesas e conformidade.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busca por ente, fornecedor, objeto, valor, período e modalidade.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de indício deve exibir a regra aplicada, os parâmetros e o link para o documento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indício deve ser exibido com rótulo padronizado de atividade para análise.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comparação entre o ente e seu grupo de pares.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exportação em CSV e Parquet dos dados normalizados consultados.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gerar dossiê em PDF com o indício, sua evidência e os documentos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API pública documentada, com versionamento e limite de taxa.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RF-PU-09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que o usuário acompanhe um ente e receba alerta de novos indícios.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RF-PU-10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página pública deve exibir aviso metodológico e link para a metodologia completa.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publicar erratas e remoções com o mesmo destaque da publicação original.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RF-PU-12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a data da última coleta bem-sucedida em cada visão de dados.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</w:tbl>
    <w:p>
      <w:pPr>
        <w:pStyle w:val="Heading2"/>
        <w:spacing w:after="120" w:before="280"/>
      </w:pPr>
      <w:r>
        <w:t xml:space="preserve">2.7 Módulo de Direito de Resposta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canal público para que ente ou fornecedor registre contestação a um indício.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deve permitir anexar documentos comprobatórios.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indício contestado deve ser marcado publicamente como contestado em até 24 horas do registro.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contestação deve ser exibida junto ao indício original, de forma permanente.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reexecutar a regra considerando os documentos apresentados na contestação.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Comprovado erro do sistema, o indício deve ser retificado ou removido e a correção publicada.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prazo e desfecho de cada contestação, com métricas públicas de atendimento.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pPr>
        <w:pStyle w:val="Heading2"/>
        <w:spacing w:after="120" w:before="280"/>
      </w:pPr>
      <w:r>
        <w:t xml:space="preserve">2.8 Módulo de Administração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7600"/>
        <w:gridCol w:w="9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7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RF-AD-01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cadastrar e editar fontes de dados por especificação declarativa.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RF-AD-02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ajustar parâmetros de uma regra e versioná-la automaticamente.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RF-AD-03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oferecer fila de revisão priorizada por severidade e antiguidade.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RF-AD-04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ação de revisor deve ser registrada em trilha de auditoria imutável, com autor, data e justificativa.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RF-AD-05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exibir painel operacional com saúde das coletas, atrasos e taxa de falha por fonte.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RF-AD-06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permitir reprocessar um período ou uma fonte específica sob demanda.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RF-AD-07</w:t>
            </w:r>
          </w:p>
        </w:tc>
        <w:tc>
          <w:tcPr>
            <w:tcW w:type="dxa" w:w="7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acesso administrativo deve exigir autenticação com segundo fator.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RF-AD-08</w:t>
            </w:r>
          </w:p>
        </w:tc>
        <w:tc>
          <w:tcPr>
            <w:tcW w:type="dxa" w:w="7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suportar perfis distintos de revisor e administrador, com permissões separadas.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3. Requisitos não-funcionais</w:t>
      </w:r>
    </w:p>
    <w:p>
      <w:pPr>
        <w:pStyle w:val="Heading2"/>
        <w:spacing w:after="120" w:before="280"/>
      </w:pPr>
      <w:r>
        <w:t xml:space="preserve">3.1 Desempenho e escala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6100"/>
        <w:gridCol w:w="24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RNF-01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de resposta da busca pública no percentil 95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2 segundos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RNF-02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de resposta da API pública no percentil 95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800 ms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RNF-03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suportado na camada analítica sem redesenho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 bilhões de linhas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RNF-04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Janela de execução do ciclo completo de detecção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12 horas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RNF-05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Defasagem entre publicação na fonte e disponibilidade no Lumen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72 horas para fontes com API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RNF-06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Capacidade de reprocessamento integral do histórico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7 dias corridos</w:t>
            </w:r>
          </w:p>
        </w:tc>
      </w:tr>
    </w:tbl>
    <w:p>
      <w:pPr>
        <w:pStyle w:val="Heading2"/>
        <w:spacing w:after="120" w:before="280"/>
      </w:pPr>
      <w:r>
        <w:t xml:space="preserve">3.2 Confiabilidade e operação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6100"/>
        <w:gridCol w:w="24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6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RNF-07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Disponibilidade do portal público e da API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99,0% mensal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RNF-08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Perda de artefato bruto já coletado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Zero, com replicação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RNF-09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Falha em uma fonte não pode interromper as demais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Isolamento por fonte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RNF-10</w:t>
            </w:r>
          </w:p>
        </w:tc>
        <w:tc>
          <w:tcPr>
            <w:tcW w:type="dxa" w:w="6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Recuperação da camada analítica a partir da camada bruta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Sempre possível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RNF-11</w:t>
            </w:r>
          </w:p>
        </w:tc>
        <w:tc>
          <w:tcPr>
            <w:tcW w:type="dxa" w:w="6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para detectar falha sistemática de coleta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Até 6 horas</w:t>
            </w:r>
          </w:p>
        </w:tc>
      </w:tr>
    </w:tbl>
    <w:p>
      <w:pPr>
        <w:pStyle w:val="Heading2"/>
        <w:spacing w:after="120" w:before="280"/>
      </w:pPr>
      <w:r>
        <w:t xml:space="preserve">3.3 Segurança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RNF-12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acesso administrativo deve usar autenticação com segundo fator e sessão com expiração.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RNF-13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Credenciais de API de terceiros devem ser armazenadas em cofre de segredos, nunca no repositório.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RNF-14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tráfego externo deve usar TLS 1.2 ou superior.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RNF-15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trilha de auditoria deve ser somente-anexação, sem permissão de alteração ou exclusão pela aplicação.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RNF-16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Backups devem ser cifrados em repouso e testados por restauração periódica.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RNF-17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registrar e limitar tentativas de acesso administrativo malsucedidas.</w:t>
            </w:r>
          </w:p>
        </w:tc>
      </w:tr>
    </w:tbl>
    <w:p>
      <w:pPr>
        <w:pStyle w:val="Heading2"/>
        <w:spacing w:after="120" w:before="280"/>
      </w:pPr>
      <w:r>
        <w:t xml:space="preserve">3.4 Privacidade e conformidade legal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RNF-18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campo do esquema canônico deve ter classificação de sensibilidade atribuída.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RNF-19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Dados pessoais de cidadãos não agentes públicos não podem ser expostos em nível individual.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RNF-20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Documentos de pessoa física devem ser mascarados em qualquer exibição ou exportação.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RNF-21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Deve existir procedimento documentado de atendimento a solicitação de titular de dados.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RNF-22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base legal do tratamento deve estar documentada e vinculada a cada categoria de dado.</w:t>
            </w:r>
          </w:p>
        </w:tc>
      </w:tr>
    </w:tbl>
    <w:p>
      <w:pPr>
        <w:pStyle w:val="Heading2"/>
        <w:spacing w:after="120" w:before="280"/>
      </w:pPr>
      <w:r>
        <w:t xml:space="preserve">3.5 Auditabilidade e reprodutibilidade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RNF-23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Qualquer indício publicado deve ser reproduzível por terceiro a partir dos dados públicos e da especificação da regra.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RNF-24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metodologia de cada regra deve ser publicada em linguagem acessível junto ao portal.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RNF-25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transformação de dado deve registrar linhagem, permitindo rastrear do indício ao artefato bruto.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RNF-26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Versões de regra e de esquema devem ser explicitamente registradas em cada execução.</w:t>
            </w:r>
          </w:p>
        </w:tc>
      </w:tr>
    </w:tbl>
    <w:p>
      <w:pPr>
        <w:pStyle w:val="Heading2"/>
        <w:spacing w:after="120" w:before="280"/>
      </w:pPr>
      <w:r>
        <w:t xml:space="preserve">3.6 Manutenibilidade e custo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100"/>
        <w:gridCol w:w="85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8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RNF-27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Adicionar uma fonte que siga padrão já suportado não deve exigir alteração no núcleo do sistema.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RNF-28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de testes automatizados no núcleo de domínio e no motor de regras: mínimo de 80%.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RNF-29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custo mensal de infraestrutura na fase 1 deve permanecer compatível com operação de equipe reduzida.</w:t>
            </w:r>
          </w:p>
        </w:tc>
      </w:tr>
      <w:tr>
        <w:tc>
          <w:tcPr>
            <w:tcW w:type="dxa" w:w="1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RNF-30</w:t>
            </w:r>
          </w:p>
        </w:tc>
        <w:tc>
          <w:tcPr>
            <w:tcW w:type="dxa" w:w="8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sistema deve poder ser executado integralmente em ambiente local para desenvolvimento e teste.</w:t>
            </w:r>
          </w:p>
        </w:tc>
      </w:tr>
      <w:tr>
        <w:tc>
          <w:tcPr>
            <w:tcW w:type="dxa" w:w="1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RNF-31</w:t>
            </w:r>
          </w:p>
        </w:tc>
        <w:tc>
          <w:tcPr>
            <w:tcW w:type="dxa" w:w="8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Nenhum componente proprietário sem alternativa aberta equivalente pode ser dependência crítica.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4. Matriz de rastreabilidade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matriz vincula objetivos do produto (DOC-01) a requisitos e casos de uso (DOC-03). Ela é mantida atualizada a cada mudança de escopo e serve de base para o planejamento de testes.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300"/>
        <w:gridCol w:w="5300"/>
        <w:gridCol w:w="3000"/>
      </w:tblGrid>
      <w:tr>
        <w:trPr>
          <w:tblHeader/>
        </w:trPr>
        <w:tc>
          <w:tcPr>
            <w:tcW w:type="dxa" w:w="1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5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Requisitos principais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</w:tr>
      <w:t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OBJ-01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RF-CO-01, RF-CO-05 a RF-CO-09, RF-NO-01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OBJ-02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RF-CO-02, RF-NO-01, RF-NO-04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OBJ-03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RF-NO-01 a RF-NO-12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UC-12</w:t>
            </w:r>
          </w:p>
        </w:tc>
      </w:tr>
      <w:t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OBJ-04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RF-DE-05 a RF-DE-15, RF-DE-16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UC-13</w:t>
            </w:r>
          </w:p>
        </w:tc>
      </w:tr>
      <w:t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OBJ-05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RF-EN-07, RF-EN-08, RF-CO-01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UC-01, UC-03</w:t>
            </w:r>
          </w:p>
        </w:tc>
      </w:tr>
      <w:t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OBJ-06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RF-CF-01 a RF-CF-08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UC-07</w:t>
            </w:r>
          </w:p>
        </w:tc>
      </w:tr>
      <w:tr>
        <w:tc>
          <w:tcPr>
            <w:tcW w:type="dxa" w:w="1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OBJ-07</w:t>
            </w:r>
          </w:p>
        </w:tc>
        <w:tc>
          <w:tcPr>
            <w:tcW w:type="dxa" w:w="5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RF-CO-05, RF-CO-06, RF-DE-04, RNF-23, RNF-25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UC-05</w:t>
            </w:r>
          </w:p>
        </w:tc>
      </w:tr>
      <w:tr>
        <w:tc>
          <w:tcPr>
            <w:tcW w:type="dxa" w:w="1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OBJ-08</w:t>
            </w:r>
          </w:p>
        </w:tc>
        <w:tc>
          <w:tcPr>
            <w:tcW w:type="dxa" w:w="5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RF-DR-01 a RF-DR-07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UC-11</w:t>
            </w:r>
          </w:p>
        </w:tc>
      </w:tr>
    </w:tbl>
    <w:p>
      <w:pPr>
        <w:pStyle w:val="Heading1"/>
        <w:spacing w:after="160" w:before="380"/>
      </w:pPr>
      <w:r>
        <w:t xml:space="preserve">5. Critérios de aceitação da versão 1.0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versão 1.0 só é considerada pronta quando todos os critérios abaixo forem verificados e documentados. Nenhum critério é dispensável por pressão de prazo.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requisitos de prioridade M estão implementados e cobertos por teste automatizado.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Uma amostra aleatória de 100 indícios publicados foi revisada manualmente e a taxa de falso positivo confirmado ficou abaixo do limite definido no DOC-07.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 indício da amostra possui documento fonte recuperável e com hash conferido.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verificador de vocabulário controlado executa na integração contínua e nenhuma violação está presente na base.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fluxo de direito de resposta foi testado ponta a ponta, incluindo publicação de errata.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metodologia de todas as regras ativas está publicada e acessível ao público.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plano de resposta a incidente de privacidade está documentado e um teste de mesa foi realizado.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 procedimento de restauração testado para a camada bruta e para o banco de domínio.</w:t>
      </w:r>
    </w:p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DOC-02 Requisitos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DOC-02 - Requisitos</dc:title>
  <dc:creator>Projeto Lumen</dc:creator>
  <dc:description>Requisitos funcionais e não-funcionais, numerados e rastreáveis</dc:description>
  <cp:lastModifiedBy>Un-named</cp:lastModifiedBy>
  <cp:revision>1</cp:revision>
  <dcterms:created xsi:type="dcterms:W3CDTF">2026-09-23T14:04:18.101Z</dcterms:created>
  <dcterms:modified xsi:type="dcterms:W3CDTF">2026-09-23T14:04:18.102Z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