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contratacoes e despesas publicas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verificacao de disponibilidade)</w:t>
            </w:r>
          </w:p>
        </w:tc>
      </w:tr>
      <w:t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Responsavel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Versao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1.0</w:t>
            </w:r>
          </w:p>
        </w:tc>
      </w:tr>
      <w:t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18 de setembro de 2026</w:t>
            </w:r>
          </w:p>
        </w:tc>
      </w:tr>
      <w:t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Situacao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Documento base para inicio de desenvolvimento</w:t>
            </w:r>
          </w:p>
        </w:tc>
      </w:tr>
    </w:tbl>
    <w:p>
      <w:pPr>
        <w:spacing w:after="300"/>
      </w:pPr>
    </w:p>
    <w:p>
      <w:pPr>
        <w:spacing w:after="120"/>
      </w:pPr>
      <w:r>
        <w:rPr>
          <w:b w:val="false"/>
          <w:bCs w:val="false"/>
          <w:i/>
          <w:iCs/>
          <w:color w:val="000000"/>
          <w:sz w:val="18"/>
          <w:szCs w:val="18"/>
        </w:rPr>
        <w:t xml:space="preserve">Este documento integra o pacote de documentacao do Projeto Lumen. Valores legais, limites e endpoints citados foram verificados em fontes oficiais em setembro de 2026 e devem ser reconferidos antes da implementacao, pois sao atualizados periodicamente por decreto.</w:t>
      </w:r>
    </w:p>
    <w:p>
      <w:r>
        <w:br w:type="page"/>
      </w:r>
    </w:p>
    <w:p>
      <w:pPr>
        <w:pStyle w:val="Heading1"/>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spacing w:after="160" w:before="380"/>
      </w:pPr>
      <w:r>
        <w:t xml:space="preserve">2. Camada 1 — Fontes federais estruturadas</w:t>
      </w:r>
    </w:p>
    <w:p>
      <w:pPr>
        <w:pStyle w:val="Heading2"/>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Token gratuito, obtido por cadastro de e-mail</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400 requisições por minuto entre 6h e 23h59; 700 entre 0h e 5h59</w:t>
            </w:r>
          </w:p>
        </w:tc>
      </w:tr>
      <w:tr>
        <w:tc>
          <w:tcPr>
            <w:tcW w:type="dxa" w:w="2200"/>
            <w:shd w:fill="FFFFFF"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c>
          <w:tcPr>
            <w:tcW w:type="dxa" w:w="2200"/>
            <w:shd w:fill="F2F2F2"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Convênios com entidades impedidas</w:t>
            </w:r>
          </w:p>
        </w:tc>
      </w:tr>
      <w:t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pStyle w:val="Heading2"/>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dados abertos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malha territorial, indicadores municipais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r>
        <w:br w:type="page"/>
      </w:r>
    </w:p>
    <w:p>
      <w:pPr>
        <w:pStyle w:val="Heading1"/>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spacing w:after="160" w:before="380"/>
      </w:pPr>
      <w:r>
        <w:t xml:space="preserve">4. Camada 3 — Municípios</w:t>
      </w:r>
    </w:p>
    <w:p>
      <w:pPr>
        <w:pStyle w:val="Heading2"/>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bl>
    <w:p>
      <w:pPr>
        <w:pStyle w:val="Heading1"/>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spacing w:after="160" w:before="380"/>
      </w:pPr>
      <w:r>
        <w:t xml:space="preserve">7.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7"/>
      <w:footerReference w:type="default" r:id="rId8"/>
      <w:pgSz w:w="11906" w:h="16838" w:orient="portrait"/>
      <w:pgMar w:top="1140" w:right="1134" w:bottom="11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50"/>
      </w:pPr>
    </w:lvl>
    <w:lvl w:ilvl="1" w15:tentative="1">
      <w:start w:val="1"/>
      <w:numFmt w:val="bullet"/>
      <w:lvlText w:val="◦"/>
      <w:lvlJc w:val="left"/>
      <w:pPr>
        <w:ind w:left="840" w:hanging="250"/>
      </w:pPr>
    </w:lvl>
    <w:lvl w:ilvl="2" w15:tentative="1">
      <w:start w:val="1"/>
      <w:numFmt w:val="bullet"/>
      <w:lvlText w:val="▪"/>
      <w:lvlJc w:val="left"/>
      <w:pPr>
        <w:ind w:left="1260" w:hanging="250"/>
      </w:pPr>
    </w:lvl>
  </w:abstractNum>
  <w:abstractNum w:abstractNumId="3" w15:restartNumberingAfterBreak="0">
    <w:multiLevelType w:val="hybridMultilevel"/>
    <w:lvl w:ilvl="0" w15:tentative="1">
      <w:start w:val="1"/>
      <w:numFmt w:val="decimal"/>
      <w:lvlText w:val="%1."/>
      <w:lvlJc w:val="left"/>
      <w:pPr>
        <w:ind w:left="440" w:hanging="280"/>
      </w:pPr>
    </w:lvl>
    <w:lvl w:ilvl="1" w15: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2026-09-23T14:04:19.184Z</dcterms:created>
  <dcterms:modified xsi:type="dcterms:W3CDTF">2026-09-23T14:04:19.184Z</dcterms:modified>
</cp:coreProperties>
</file>

<file path=docProps/custom.xml><?xml version="1.0" encoding="utf-8"?>
<Properties xmlns="http://schemas.openxmlformats.org/officeDocument/2006/custom-properties" xmlns:vt="http://schemas.openxmlformats.org/officeDocument/2006/docPropsVTypes"/>
</file>