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contratacoes e despesas publicas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DOC-08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Política Jurídica e Editorial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Base legal, vocabulário controlado, proteção de dados e direito de resposta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 (nome de trabalho, sujeito a verificacao de disponibilidade)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Versao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de setembro de 2026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Situacao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base para inicio de desenvolvimento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documentacao do Projeto Lumen. Valores legais, limites e endpoints citados foram verificados em fontes oficiais em setembro de 2026 e devem ser reconferidos antes da implementacao, pois sao atualizados periodicamente por decreto.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Sumário</w:t>
      </w: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Natureza deste documento</w:t>
            </w:r>
          </w:p>
          <w:p>
            <w:pPr>
              <w:spacing w:after="70"/>
            </w:pPr>
            <w:r>
              <w:t xml:space="preserve">Este documento consolida a política interna do projeto e o entendimento que fundamenta suas escolhas de desenho. Ele não é parecer jurídico e não substitui a orientação de advogado.</w:t>
            </w:r>
          </w:p>
          <w:p>
            <w:pPr>
              <w:spacing w:after="70"/>
            </w:pPr>
            <w:r>
              <w:t xml:space="preserve">Antes de a primeira publicação ir ao ar, a política aqui descrita deve ser revisada por advogado com atuação em direito digital e responsabilidade civil, e o fluxo de direito de resposta deve ser validado por esse profissional.</w:t>
            </w:r>
          </w:p>
        </w:tc>
      </w:tr>
    </w:tbl>
    <w:p>
      <w:pPr>
        <w:pStyle w:val="Heading1"/>
        <w:spacing w:after="160" w:before="380"/>
      </w:pPr>
      <w:r>
        <w:t xml:space="preserve">1. Base legal para coletar, tratar e republicar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projeto trabalha com dados que a própria legislação determina que sejam públicos. Essa é a diferença fundamental entre o Lumen e um sistema que obtivesse informação por meios reservados: aqui, a publicidade é a regra imposta ao ente, e o sistema apenas a torna utilizável.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00"/>
        <w:gridCol w:w="3800"/>
        <w:gridCol w:w="35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Fundamento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estabelece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Relevância para o projeto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Constituição Federal, art. 37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Publicidade como princípio da administração pública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Fundamento geral da publicidade dos atos administrativos</w:t>
            </w:r>
          </w:p>
        </w:tc>
      </w:tr>
      <w:t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Lei 12.527/2011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Lei de Acesso à Informação; acesso como regra e sigilo como exceção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 o acesso e estabelece o dever de transparência ativa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Lei Complementar 131/2009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Divulgação em tempo real da execução orçamentária e financeira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Fundamenta a exigência de atualidade usada no índice de conformidade</w:t>
            </w:r>
          </w:p>
        </w:tc>
      </w:tr>
      <w:t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Lei 14.133/2021, art. 174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 o PNCP para divulgação centralizada das contratações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da obrigatoriedade de publicação que sustenta a cobertura nacional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Decreto 8.777/2016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Política de Dados Abertos do Executivo federal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Ampara expressamente a livre utilização dos dados das APIs federais</w:t>
            </w:r>
          </w:p>
        </w:tc>
      </w:tr>
      <w:t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Lei 13.709/2018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Lei Geral de Proteção de Dados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Aplica-se aos dados pessoais presentes nas bases, mesmo públicas</w:t>
            </w:r>
          </w:p>
        </w:tc>
      </w:tr>
    </w:tbl>
    <w:p>
      <w:pPr>
        <w:pStyle w:val="Heading1"/>
        <w:spacing w:after="160" w:before="380"/>
      </w:pPr>
      <w:r>
        <w:t xml:space="preserve">2. Onde está o risco de verdade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Coletar e republicar dado público, com atribuição de fonte, é atividade de baixo risco. O risco do projeto não está na coleta nem na republicação: está na camada de interpretação. É o momento em que o sistema deixa de dizer este contrato custou X e passa a dizer ou sugerir algo sobre a conduta de quem o assinou.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o Lumen o neutraliza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Republicar contrato público com fonte citada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Muito baixo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Atribuição de fonte, link e hash em todo registro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Afirmar que um valor está acima da mediana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Afirmação verificável, com a referência explicitada e reprodutível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Afirmar ou sugerir que houve desvio ou fraude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Proibido em qualquer campo; bloqueado por verificação automática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Rotular pessoa ou empresa como suspeita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Vocabulário controlado veda o termo; o rótulo recai sobre a atividade, nunca sobre a pessoa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Publicar indício com dado de origem incorreto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Revisão humana confere o documento fonte antes da publicação; errata com mesmo destaque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Ordenar entes por pontuação de risco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existe ranking de risco; a ordenação pública é por conformidade objetiva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Cruzar doação eleitoral e apresentar como nexo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Família K nunca publica isoladamente e não afirma nexo causal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ordenamento brasileiro, imputar falsamente a alguém fato definido como crime, ou fato ofensivo à reputação, atrai responsabilização penal e civil, e a jurisprudência consolidada reconhece que pessoa jurídica também pode sofrer dano à sua reputação. É precisamente por isso que o projeto adota como restrição de engenharia, e não apenas como recomendação editorial, a proibição de qualquer linguagem que impute conduta ilícita.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3. Vocabulário controlado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tabela abaixo é normativa e está implementada como verificação automática. Nenhum termo da coluna proibida pode aparecer em texto destinado ao público: interface, explicação de regra, título de indício, nome de campo exibido, mensagem de erro, rótulo de gráfico, dossiê exportado, resposta de API ou publicação em rede social.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800"/>
        <w:gridCol w:w="58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Proibido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Substituição obrigatória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desvio, desvio de verba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em análise; atividade sinalizada para análise</w:t>
            </w:r>
          </w:p>
        </w:tc>
      </w:tr>
      <w:t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fraude, fraudulento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padrão atípico identificado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superfaturamento, superfaturado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preço acima da referência comparada</w:t>
            </w:r>
          </w:p>
        </w:tc>
      </w:tr>
      <w:t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corrupção, corrupto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há substituição; o termo simplesmente não é utilizado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suspeito, suspeita (como qualificação)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atividade para análise</w:t>
            </w:r>
          </w:p>
        </w:tc>
      </w:tr>
      <w:t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irregular, irregularidade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divergência em relação ao parâmetro legal ou estatístico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ilegal, ilícito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distinto do previsto no dispositivo citado</w:t>
            </w:r>
          </w:p>
        </w:tc>
      </w:tr>
      <w:t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crime, criminoso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há substituição; o termo simplesmente não é utilizado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culpado, responsável por (com sentido de culpa)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signatário do ato; agente que autorizou</w:t>
            </w:r>
          </w:p>
        </w:tc>
      </w:tr>
      <w:t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lavagem, propina, superfatura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há substituição; os termos não são utilizados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esquema, organização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conjunto de contratações relacionadas</w:t>
            </w:r>
          </w:p>
        </w:tc>
      </w:tr>
      <w:t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denúncia, denunciar</w:t>
            </w:r>
          </w:p>
        </w:tc>
        <w:tc>
          <w:tcPr>
            <w:tcW w:type="dxa" w:w="5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sinalização; registro para análise</w:t>
            </w:r>
          </w:p>
        </w:tc>
      </w:tr>
      <w:t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acusado, investigado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analisado; fornecedor analisado</w:t>
            </w:r>
          </w:p>
        </w:tc>
      </w:tr>
    </w:tbl>
    <w:p>
      <w:pPr>
        <w:pStyle w:val="Heading2"/>
        <w:spacing w:after="120" w:before="280"/>
      </w:pPr>
      <w:r>
        <w:t xml:space="preserve">3.1 Construções de frase aprovadas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Além do controle de termos isolados, o projeto padroniza a estrutura das frases que descrevem um indício. O modelo canônico é: fato observado, referência comparada, distância entre ambos e convite à verificação. Nunca inferência sobre intenção.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APROVADO: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"O preco unitario contratado foi de R$ 48,00. A mediana observada para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este item no mesmo trimestre, entre 412 contratacoes de outros entes,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foi de R$ 11,20. O valor esta 4,3 vezes acima dessa referencia.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Documento fonte disponivel para verificacao."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REPROVADO: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"Prefeitura pagou R$ 48,00 em item que custa R$ 11,20, indicando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superfaturamento de mais de 300%."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-&gt; imputa conduta; usa termo proibido; conclui em vez de descrever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APROVADO: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"Foram identificadas 14 contratacoes diretas com o mesmo fornecedor,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para objetos de descricao similar, no intervalo de 180 dias, somando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R$ 218.400,00. O limite legal para dispensa por valor nesta categoria,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na data dos atos, era de R$ 65.492,11. O ato foi autorizado por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[nome do agente conforme publicado], com fundamento no art. 75, II."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REPROVADO: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"Prefeito fatiou compras para fugir de licitacao."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-&gt; imputa intencao e conduta ilicita; linguagem conclusiva</w:t>
            </w:r>
          </w:p>
        </w:tc>
      </w:tr>
    </w:tbl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O caso mais delicado: nomear quem autorizou</w:t>
            </w:r>
          </w:p>
          <w:p>
            <w:pPr>
              <w:spacing w:after="70"/>
            </w:pPr>
            <w:r>
              <w:t xml:space="preserve">O projeto registra e exibe o nome do agente público signatário do ato, porque isso é dado público do exercício da função e responde diretamente ao requisito de mostrar quem fez.</w:t>
            </w:r>
          </w:p>
          <w:p>
            <w:pPr>
              <w:spacing w:after="70"/>
            </w:pPr>
            <w:r>
              <w:t xml:space="preserve">A diferença entre informar e acusar está inteiramente na construção da frase. Dizer que o ato foi assinado por determinada autoridade, com fundamento em determinado dispositivo, é reproduzir o que o próprio ente publicou. Dizer que essa autoridade autorizou irregularmente é conclusão que o Lumen não tem competência nem elementos para emitir.</w:t>
            </w:r>
          </w:p>
          <w:p>
            <w:pPr>
              <w:spacing w:after="70"/>
            </w:pPr>
            <w:r>
              <w:t xml:space="preserve">Por isso o nome do agente aparece sempre no campo de fato administrativo, jamais no título ou no resumo do indício, e nunca é acompanhado de adjetivo.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t xml:space="preserve">4. Regras de publicação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8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PUB-01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indício exibe o rótulo padronizado de atividade para análise, em posição de destaque e antes de qualquer outro conteúdo.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PUB-02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indício exibe a regra aplicada, sua versão, seus parâmetros e a referência comparada.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PUB-03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indício exibe pelo menos um documento fonte com link, hash e data de coleta.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PUB-04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 indício é publicado sem que o documento fonte esteja armazenado e íntegro.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PUB-05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Indícios de severidade alta exigem aprovação de dois analistas distintos.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PUB-06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nome de agente público aparece apenas como signatário do ato, sem adjetivação.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PUB-07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existe ranking público de entes por pontuação de risco; a ordenação pública é por conformidade objetiva.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PUB-08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página pública exibe o aviso metodológico e o link para a metodologia completa.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PUB-09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Erratas e remoções são publicadas no mesmo canal, no mesmo formato e com o mesmo destaque da publicação original.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PUB-10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Comunicação em redes sociais segue exatamente o mesmo vocabulário controlado, sem exceção para linguagem informal.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PUB-11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 indício é publicado enquanto houver contestação pendente de análise que alegue erro de dado.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PUB-12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Critérios de detecção e publicação são idênticos para todos os entes, sem distinção de porte, região ou vinculação política.</w:t>
            </w:r>
          </w:p>
        </w:tc>
      </w:tr>
    </w:tbl>
    <w:p>
      <w:pPr>
        <w:pStyle w:val="Heading1"/>
        <w:spacing w:after="160" w:before="380"/>
      </w:pPr>
      <w:r>
        <w:t xml:space="preserve">5. Proteção de dados pessoais</w:t>
      </w:r>
    </w:p>
    <w:p>
      <w:pPr>
        <w:pStyle w:val="Heading2"/>
        <w:spacing w:after="120" w:before="280"/>
      </w:pPr>
      <w:r>
        <w:t xml:space="preserve">5.1 Classificação adotada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00"/>
        <w:gridCol w:w="3500"/>
        <w:gridCol w:w="38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Exemplos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Tratamento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Ato administrativo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contrato, objeto, valor, data, modalidade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Publicação integral; não são dados pessoais</w:t>
            </w:r>
          </w:p>
        </w:tc>
      </w:tr>
      <w:t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Pessoa jurídica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CNPJ, razão social, CNAE, capital social, quadro societário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Publicação conforme divulgado nas bases públicas de origem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Agente público na função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e cargo do signatário do ato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Publicação restrita ao vínculo com o ato, sem adjetivação e sem perfil</w:t>
            </w:r>
          </w:p>
        </w:tc>
      </w:tr>
      <w:t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de pessoa física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CPF em qualquer contexto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Mascarado em exibição, exportação, dossiê e resposta de API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Cidadão beneficiário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Beneficiários de programas sociais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Fora de escopo; tratamento apenas agregado, nunca individual</w:t>
            </w:r>
          </w:p>
        </w:tc>
      </w:tr>
      <w:t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sensível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dado do art. 5º, II da LGPD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coletado; descartado na normalização caso apareça em fonte</w:t>
            </w:r>
          </w:p>
        </w:tc>
      </w:tr>
    </w:tbl>
    <w:p>
      <w:pPr>
        <w:pStyle w:val="Heading2"/>
        <w:spacing w:after="120" w:before="280"/>
      </w:pPr>
      <w:r>
        <w:t xml:space="preserve">5.2 Princípios operacionais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Minimização: campos que não alimentam nenhuma regra ativa nem visualização pública não são promovidos da camada bruta para a camada consultável.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Finalidade declarada: o tratamento se destina a controle social do gasto público, e essa finalidade é declarada publicamente.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Mascaramento na origem: a máscara de documentos é aplicada no estágio de normalização, e não na exibição, de modo que o dado sem máscara não circula pelas camadas consultáveis.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Canal de titular: existe procedimento documentado para receber e responder solicitações de titulares de dados, com prazo definido.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Registro de tratamento: cada categoria de dado tem sua base legal documentada e vinculada.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6. Direito de resposta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direito de resposta não é concessão do projeto: é parte da sua arquitetura e do seu controle de qualidade. Um ente que contesta um indício frequentemente traz informação que o sistema não tinha, e essa informação melhora as regras.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1. Fluxo de contestação, da manifestação ao desfecho publicado.</w:t>
      </w:r>
    </w:p>
    <w:p>
      <w:pPr>
        <w:pStyle w:val="Heading2"/>
        <w:spacing w:after="120" w:before="280"/>
      </w:pPr>
      <w:r>
        <w:t xml:space="preserve">6.1 Compromissos de prazo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2400"/>
        <w:gridCol w:w="3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Prazo máximo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Marcação pública do indício como contestado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 horas do registro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Confirmação de recebimento com protocolo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 horas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Análise da contestação e desfecho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dias corridos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Lumen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Publicação de errata quando houver erro do sistema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48 horas da constatação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Lumen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Remoção quando o dado de origem estava incorreto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48 horas da constatação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Lumen</w:t>
            </w:r>
          </w:p>
        </w:tc>
      </w:tr>
    </w:tbl>
    <w:p>
      <w:pPr>
        <w:pStyle w:val="Heading2"/>
        <w:spacing w:after="120" w:before="280"/>
      </w:pPr>
      <w:r>
        <w:t xml:space="preserve">6.2 Desfechos possíveis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4200"/>
        <w:gridCol w:w="3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Desfecho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se aplica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 público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Mantido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contestação não afasta o que foi observado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 permanece com a contestação exibida ao lado, em igual destaque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Retificado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Houve erro de coleta ou de cálculo do Lumen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 corrigido e errata publicada com o mesmo destaque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Removido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dado publicado pela própria fonte estava incorreto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 removido e nota explicando a origem do erro</w:t>
            </w:r>
          </w:p>
        </w:tc>
      </w:tr>
    </w:tbl>
    <w:tbl>
      <w:tblPr>
        <w:tblW w:type="dxa" w:w="9600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DCE6F1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Assimetria deliberada</w:t>
            </w:r>
          </w:p>
          <w:p>
            <w:pPr>
              <w:spacing w:after="70"/>
            </w:pPr>
            <w:r>
              <w:t xml:space="preserve">O projeto adota postura assimétrica em favor de quem contesta. A marcação pública de contestação é automática e imediata, sem análise prévia de mérito, enquanto a manutenção do indício exige análise completa. Publicar rápido e corrigir devagar seria incompatível com os princípios do projeto.</w:t>
            </w:r>
          </w:p>
        </w:tc>
      </w:tr>
    </w:tbl>
    <w:p>
      <w:pPr>
        <w:pStyle w:val="Heading1"/>
        <w:spacing w:after="160" w:before="380"/>
      </w:pPr>
      <w:r>
        <w:t xml:space="preserve">7. Governança editorial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Instância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Composição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Competência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Revisão de primeira linha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de plantão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Aprovar ou descartar indício de severidade média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Revisão de segunda linha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Dois analistas distintos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Aprovar indício de severidade alta; nenhum aprova sozinho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Comitê de metodologia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técnico e revisores seniores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Aprovar regra nova, mudança de limiar e texto de explicação pública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jurídica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Advogado externo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Avaliar caso limite, contestação com ameaça de medida judicial e revisão anual da política</w:t>
            </w:r>
          </w:p>
        </w:tc>
      </w:tr>
    </w:tbl>
    <w:p>
      <w:pPr>
        <w:pStyle w:val="Heading2"/>
        <w:spacing w:after="120" w:before="280"/>
      </w:pPr>
      <w:r>
        <w:t xml:space="preserve">7.1 Situações que exigem escalonamento obrigatório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Contestação acompanhada de notificação extrajudicial ou ameaça de medida judicial.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Indício que envolva agente público em exercício de mandato eletivo em período eleitoral.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Pedido de remoção de conteúdo por qualquer via.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Solicitação de titular de dados relativa a informação publicada.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Cobertura jornalística que atribua ao Lumen conclusão que ele não emitiu, hipótese em que cabe pedido público de retificação por parte do próprio projeto.</w:t>
      </w:r>
    </w:p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O risco reputacional invertido</w:t>
            </w:r>
          </w:p>
          <w:p>
            <w:pPr>
              <w:spacing w:after="70"/>
            </w:pPr>
            <w:r>
              <w:t xml:space="preserve">Um risco frequentemente esquecido é o de terceiros atribuírem ao Lumen conclusões que ele nunca emitiu. Uma manchete afirmando que o sistema apontou desvio em determinado município compromete a credibilidade do projeto tanto quanto um erro próprio.</w:t>
            </w:r>
          </w:p>
          <w:p>
            <w:pPr>
              <w:spacing w:after="70"/>
            </w:pPr>
            <w:r>
              <w:t xml:space="preserve">Por isso o material de imprensa do projeto sempre inclui a formulação padronizada do que um indício significa e do que ele não significa, e a equipe solicita retificação quando a atribuição incorreta é relevante.</w:t>
            </w:r>
          </w:p>
        </w:tc>
      </w:tr>
    </w:tbl>
    <w:p>
      <w:pPr>
        <w:pStyle w:val="Heading1"/>
        <w:spacing w:after="160" w:before="380"/>
      </w:pPr>
      <w:r>
        <w:t xml:space="preserve">8. Revisão periódica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 lista de vocabulário controlado é revista a cada seis meses e sempre que um caso concreto revelar termo não previsto.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 política inteira é revista anualmente com apoio jurídico externo.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Métricas de contestação, taxa de manutenção, retificação e remoção são publicadas trimestralmente, como forma de prestação de contas do próprio projeto.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Toda alteração desta política é versionada, com registro do motivo e da data de vigência.</w:t>
      </w:r>
    </w:p>
    <w:sectPr>
      <w:headerReference w:type="default" r:id="rId7"/>
      <w:footerReference w:type="default" r:id="rId8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DOC-08 Política Jurídica e Editorial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50"/>
      </w:pPr>
    </w:lvl>
    <w:lvl w:ilvl="1" w15:tentative="1">
      <w:start w:val="1"/>
      <w:numFmt w:val="bullet"/>
      <w:lvlText w:val="◦"/>
      <w:lvlJc w:val="left"/>
      <w:pPr>
        <w:ind w:left="840" w:hanging="250"/>
      </w:pPr>
    </w:lvl>
    <w:lvl w:ilvl="2" w15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  <w:lvl w:ilvl="1" w15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eedb50cd7ebf16b69ea7bf8e9ee33dbfaf75d3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DOC-08 - Política Jurídica e Editorial</dc:title>
  <dc:creator>Projeto Lumen</dc:creator>
  <dc:description>Base legal, vocabulário controlado, proteção de dados e direito de resposta</dc:description>
  <cp:lastModifiedBy>Un-named</cp:lastModifiedBy>
  <cp:revision>1</cp:revision>
  <dcterms:created xsi:type="dcterms:W3CDTF">2026-09-23T14:04:19.761Z</dcterms:created>
  <dcterms:modified xsi:type="dcterms:W3CDTF">2026-09-23T14:04:19.761Z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