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pessoas_juridicas.py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13,9% do valor estimado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pessoas_juridicas.py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5. Estado guardado entre execuções</w:t>
      </w:r>
      <w:bookmarkEnd w:id="22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6. Site publicado</w:t>
      </w:r>
      <w:bookmarkEnd w:id="23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7. Regras de soma das contratações</w:t>
      </w:r>
      <w:bookmarkEnd w:id="24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8. Avaliação da conformidade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8.1 Comparação com o grupo de pares (ADR-038)</w:t>
      </w:r>
      <w:bookmarkEnd w:id="26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9. Portal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10. Operação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Configuração, uma vez</w:t>
      </w:r>
      <w:bookmarkEnd w:id="29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0" w:id="30"/>
      <w:r>
        <w:t xml:space="preserve">Comandos locais</w:t>
      </w:r>
      <w:bookmarkEnd w:id="30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1" w:id="31"/>
      <w:r>
        <w:t xml:space="preserve">Limites</w:t>
      </w:r>
      <w:bookmarkEnd w:id="31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11. Verificação</w:t>
      </w:r>
      <w:bookmarkEnd w:id="3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12. Próximos passos e riscos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2026-10-21T12:12:55.951Z</dcterms:created>
  <dcterms:modified xsi:type="dcterms:W3CDTF">2026-10-21T12:12:55.952Z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