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pessoas_juridicas.py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pessoas_juridicas.py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5. Estado guardado entre execuções</w:t>
      </w:r>
      <w:bookmarkEnd w:id="22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6. Site publicado</w:t>
      </w:r>
      <w:bookmarkEnd w:id="23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7. Regras de soma das contratações</w:t>
      </w:r>
      <w:bookmarkEnd w:id="24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8. Avaliação da conformidade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8.1 Comparação com o grupo de pares (ADR-038)</w:t>
      </w:r>
      <w:bookmarkEnd w:id="26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9. Portal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10. Operação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Configuração, uma vez</w:t>
      </w:r>
      <w:bookmarkEnd w:id="29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0" w:id="30"/>
      <w:r>
        <w:t xml:space="preserve">Comandos locais</w:t>
      </w:r>
      <w:bookmarkEnd w:id="30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1" w:id="31"/>
      <w:r>
        <w:t xml:space="preserve">Limites</w:t>
      </w:r>
      <w:bookmarkEnd w:id="31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11. Verificação</w:t>
      </w:r>
      <w:bookmarkEnd w:id="3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12. Próximos passos e riscos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2026-10-21T12:05:01.686Z</dcterms:created>
  <dcterms:modified xsi:type="dcterms:W3CDTF">2026-10-21T12:05:01.688Z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