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Visão e Escopo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Por que o projeto existe, o que ele faz, o que ele nunca fará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início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setembro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Sumário executivo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O problema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Fragmentação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 Escala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 Assimetria de atenção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3. Objetivos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3.1 Objetivos do produto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3.2 Não-objetivos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4. Princípios inegociáveis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1">
            <w:r>
              <w:t xml:space="preserve">P1. Evidência antes de afirmação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P2. Linguagem neutra obrigatória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3">
            <w:r>
              <w:t xml:space="preserve">P3. Reprodutibilidade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P4. Simetria de correção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5">
            <w:r>
              <w:t xml:space="preserve">P5. Ausência de dado é informação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P6. Coleta responsável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5. Escopo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5.1 Escopo por esfera e fase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5.2 Objetos de análise no escopo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5.3 Fora de escopo na versão 1.0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Público e partes interessadas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Premissas e restrições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7.1 Premissas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7.2 Restrições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8. Riscos do projeto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9. Glossário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10. Documentos relacionados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Sumário executivo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Lumen é um sistema que coleta, normaliza e analisa dados de contratações e despesas públicas de todos os entes federativos brasileiros, com o objetivo de sinalizar atividades que merecem análise por parte de órgãos de controle, imprensa e sociedade civil. O sistema não acusa, não julga e não afirma a ocorrência de ilícito: ele identifica padrões estatísticos e processuais que se afastam do esperado, apresenta a evidência primária que sustenta cada sinalização e identifica objetivamente quem praticou o ato administrativo e com que fundamento legal, conforme publicado pelo próprio 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viabilidade do projeto em escala nacional apoia-se em uma constatação técnica central: embora o Brasil tenha 5.570 municípios, 26 estados, o Distrito Federal e a União, com portais de transparência extremamente heterogêneos, existem hoje duas bases federais obrigatórias que já concentram dados de praticamente todos esses entes. O Portal Nacional de Contratações Públicas (PNCP), criado pela Lei 14.133/2021, centraliza licitações, contratos, atas e o amparo legal de cada contratação. O SICONFI, da Secretaria do Tesouro Nacional, concentra os relatórios contábeis e fiscais de estados e municípios. Ambos expõem APIs públicas. Isso significa que a cobertura nacional não exige escrever 5.570 raspadores: exige integrar corretamente um pequeno número de fontes federais e, só depois, tratar a cauda longa.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prazo alvo é de doze meses até a versão pública, distribuídos em seis fases descritas no documento DOC-10 Roadmap.</w:t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Princípio fundador do projeto</w:t>
            </w:r>
          </w:p>
          <w:p>
            <w:pPr>
              <w:spacing w:after="70"/>
            </w:pPr>
            <w:r>
              <w:t xml:space="preserve">O Lumen publica indícios, nunca conclusões. Toda sinalização é rotulada como atividade para análise e acompanhada da evidência primária, da regra aplicada e de seus parâmetros.</w:t>
            </w:r>
          </w:p>
          <w:p>
            <w:pPr>
              <w:spacing w:after="70"/>
            </w:pPr>
            <w:r>
              <w:t xml:space="preserve">A determinação de que houve desvio, fraude ou crime cabe exclusivamente aos órgãos de controle e ao Poder Judiciário. Essa restrição não é apenas uma diretriz editorial: ela é imposta no código, no modelo de domínio e no pipeline de publicação, conforme o DOC-08 e o DOC-09.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O problema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Brasil publica um volume enorme de dados sobre gasto público, mas publicar não é o mesmo que tornar fiscalizável. Três barreiras separam o dado publicado do controle social efetivo.</w:t>
      </w:r>
    </w:p>
    <w:p>
      <w:pPr>
        <w:pStyle w:val="Heading2"/>
        <w:keepNext/>
        <w:keepLines/>
        <w:spacing w:after="120" w:before="280"/>
      </w:pPr>
      <w:bookmarkStart w:name="_Toc4" w:id="4"/>
      <w:r>
        <w:t xml:space="preserve">2.1 Fragmentação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esfera e cada ente publica em seu próprio formato, com sua própria nomenclatura, em sua própria periodicidade. Um mesmo item de compra pode aparecer como material de expediente em um município e como suprimento administrativo em outro. Sem normalização, comparar preços entre entes é impossível, e sem comparação não existe detecção de sobrepreço.</w:t>
      </w:r>
    </w:p>
    <w:p>
      <w:pPr>
        <w:pStyle w:val="Heading2"/>
        <w:keepNext/>
        <w:keepLines/>
        <w:spacing w:after="120" w:before="280"/>
      </w:pPr>
      <w:bookmarkStart w:name="_Toc5" w:id="5"/>
      <w:r>
        <w:t xml:space="preserve">2.2 Escala</w:t>
      </w:r>
      <w:bookmarkEnd w:id="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Existem mais de 6.000 unidades publicando informação orçamentária, considerando União, estados, municípios, câmaras legislativas, autarquias, fundações, empresas públicas e consórcios. Nenhum ser humano ou redação consegue auditar esse volume manualmente. A fiscalização hoje é reativa: investiga-se o que alguém denunciou, não o que os dados apontam.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2.3 Assimetria de atenção</w:t>
      </w:r>
      <w:bookmarkEnd w:id="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atenção pública concentra-se em contratos de valor elevado, que são poucos e muito visíveis. Entretanto, uma parcela relevante das irregularidades apuradas historicamente pelos tribunais de contas envolve valores pequenos praticados de forma repetida, precisamente porque operam abaixo do limiar de atenção. O caso clássico é o fracionamento de despesa: dividir uma contratação maior em várias menores para manter cada uma abaixo do limite legal de dispensa de licitação. Um sistema que só olhe para valores grandes é cego exatamente onde o padrão é mais comum.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Requisito derivado</w:t>
            </w:r>
          </w:p>
          <w:p>
            <w:pPr>
              <w:spacing w:after="70"/>
            </w:pPr>
            <w:r>
              <w:t xml:space="preserve">O motor de detecção trata valores pequenos como cidadãos de primeira classe. A família de regras de fracionamento e agregação temporal (família B do DOC-07) foi desenhada especificamente para detectar padrões que só existem quando se olha o conjunto, e nunca o documento isolado.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7" w:id="7"/>
      <w:r>
        <w:t xml:space="preserve">3. Objetivos</w:t>
      </w:r>
      <w:bookmarkEnd w:id="7"/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3.1 Objetivos do produto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800"/>
        <w:gridCol w:w="4400"/>
        <w:gridCol w:w="4400"/>
      </w:tblGrid>
      <w:tr>
        <w:trPr>
          <w:tblHeader/>
        </w:trPr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será medido</w:t>
            </w:r>
          </w:p>
        </w:tc>
      </w:tr>
      <w:tr>
        <w:trPr>
          <w:cantSplit/>
        </w:trPr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OBJ-01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Cobrir os dados de contratação de todos os entes que publicam no PNCP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de entes com ao menos uma contratação coletada nos últimos 12 meses</w:t>
            </w:r>
          </w:p>
        </w:tc>
      </w:tr>
      <w:tr>
        <w:trPr>
          <w:cantSplit/>
        </w:trPr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OBJ-02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Cobrir os dados orçamentários e fiscais de estados e municípios via SICONFI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de entes com RREO e DCA coletados por exercício</w:t>
            </w:r>
          </w:p>
        </w:tc>
      </w:tr>
      <w:tr>
        <w:trPr>
          <w:cantSplit/>
        </w:trPr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OBJ-03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Normalizar tudo em um esquema canônico único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de registros que passam nas regras de qualidade sem intervenção manual</w:t>
            </w:r>
          </w:p>
        </w:tc>
      </w:tr>
      <w:tr>
        <w:trPr>
          <w:cantSplit/>
        </w:trPr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OBJ-04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Detectar padrões de valor atípico, tanto altos quanto pequenos e repetidos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Precisão dos indícios revisados por amostragem trimestral</w:t>
            </w:r>
          </w:p>
        </w:tc>
      </w:tr>
      <w:tr>
        <w:trPr>
          <w:cantSplit/>
        </w:trPr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OBJ-05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quem autorizou cada ato e com que fundamento legal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de contratações com agente e amparo legal preenchidos</w:t>
            </w:r>
          </w:p>
        </w:tc>
      </w:tr>
      <w:tr>
        <w:trPr>
          <w:cantSplit/>
        </w:trPr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Medir e expor o cumprimento das obrigações de transparência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entes com índice de conformidade calculado e publicado</w:t>
            </w:r>
          </w:p>
        </w:tc>
      </w:tr>
      <w:tr>
        <w:trPr>
          <w:cantSplit/>
        </w:trPr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OBJ-07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Garantir rastreabilidade integral da evidência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de indícios com documento fonte armazenado e hash verificável</w:t>
            </w:r>
          </w:p>
        </w:tc>
      </w:tr>
      <w:tr>
        <w:trPr>
          <w:cantSplit/>
        </w:trPr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OBJ-08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Garantir direito de resposta efetivo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 médio entre contestação registrada e marcação pública do indício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3.2 Não-objetivos</w:t>
      </w:r>
      <w:bookmarkEnd w:id="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Delimitar o que o sistema não faz é tão importante quanto delimitar o que ele faz, porque protege o projeto juridicamente e evita expansão descontrolada de escopo.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Lumen não afirma que houve desvio, fraude, superfaturamento ou crime, nem sugere essas conclusões por meio de linguagem, iconografia ou rotulagem.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Lumen não substitui auditoria. Um indício é uma hipótese a ser verificada por quem tem poder de requisitar documentos, ouvir agentes e aplicar sanção.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Lumen não produz ranking de políticos, não atribui pontuação a pessoas físicas e não constrói perfis sobre agentes públicos além do registro objetivo dos atos que assinaram.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Lumen não coleta dados pessoais de cidadãos beneficiários de programas sociais para fins de análise individual. Dados desse tipo, quando necessários, são tratados de forma agregada.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Lumen não burla controles técnicos de acesso. Não resolve CAPTCHA, não usa credencial de terceiro e não acessa área restrita de nenhum portal.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Lumen não é, na primeira versão, um sistema de previsão. Ele descreve o que aconteceu e o quanto isso destoa do padrão, sem prever comportamento futuro de agentes.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0" w:id="10"/>
      <w:r>
        <w:t xml:space="preserve">4. Princípios inegociáveis</w:t>
      </w:r>
      <w:bookmarkEnd w:id="1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princípios a seguir têm precedência sobre qualquer requisito funcional. Em caso de conflito entre um princípio e uma funcionalidade desejada, a funcionalidade é descartada ou redesenhada.</w:t>
      </w:r>
    </w:p>
    <w:p>
      <w:pPr>
        <w:pStyle w:val="Heading3"/>
        <w:keepNext/>
        <w:keepLines/>
        <w:spacing w:after="100" w:before="220"/>
      </w:pPr>
      <w:bookmarkStart w:name="_Toc11" w:id="11"/>
      <w:r>
        <w:t xml:space="preserve">P1. Evidência antes de afirmação</w:t>
      </w:r>
      <w:bookmarkEnd w:id="1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indício pode ser publicado sem que exista, armazenado no sistema, o documento primário que o sustenta, com URL de origem, hash SHA-256 e carimbo de tempo da coleta. Se a evidência não pode ser mostrada, o indício não existe.</w:t>
      </w:r>
    </w:p>
    <w:p>
      <w:pPr>
        <w:pStyle w:val="Heading3"/>
        <w:keepNext/>
        <w:keepLines/>
        <w:spacing w:after="100" w:before="220"/>
      </w:pPr>
      <w:bookmarkStart w:name="_Toc12" w:id="12"/>
      <w:r>
        <w:t xml:space="preserve">P2. Linguagem neutra obrigatória</w:t>
      </w:r>
      <w:bookmarkEnd w:id="1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Todo texto voltado ao público usa vocabulário controlado. Termos que imputam ilícito são proibidos em qualquer campo exibível. Essa regra é verificada automaticamente na integração contínua e quebra o build quando violada.</w:t>
      </w:r>
    </w:p>
    <w:p>
      <w:pPr>
        <w:pStyle w:val="Heading3"/>
        <w:keepNext/>
        <w:keepLines/>
        <w:spacing w:after="100" w:before="220"/>
      </w:pPr>
      <w:bookmarkStart w:name="_Toc13" w:id="13"/>
      <w:r>
        <w:t xml:space="preserve">P3. Reprodutibilidade</w:t>
      </w:r>
      <w:bookmarkEnd w:id="1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Qualquer indício deve poder ser reproduzido por terceiros a partir dos dados públicos e da especificação da regra. A regra, sua versão, seus parâmetros e os dados de entrada ficam registrados junto ao indício.</w:t>
      </w:r>
    </w:p>
    <w:p>
      <w:pPr>
        <w:pStyle w:val="Heading3"/>
        <w:keepNext/>
        <w:keepLines/>
        <w:spacing w:after="100" w:before="220"/>
      </w:pPr>
      <w:bookmarkStart w:name="_Toc14" w:id="14"/>
      <w:r>
        <w:t xml:space="preserve">P4. Simetria de correção</w:t>
      </w:r>
      <w:bookmarkEnd w:id="1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Correções e remoções recebem o mesmo destaque e o mesmo canal que a publicação original. Um erro do sistema corrigido em silêncio é um erro cometido duas vezes.</w:t>
      </w:r>
    </w:p>
    <w:p>
      <w:pPr>
        <w:pStyle w:val="Heading3"/>
        <w:keepNext/>
        <w:keepLines/>
        <w:spacing w:after="100" w:before="220"/>
      </w:pPr>
      <w:bookmarkStart w:name="_Toc15" w:id="15"/>
      <w:r>
        <w:t xml:space="preserve">P5. Ausência de dado é informação</w:t>
      </w:r>
      <w:bookmarkEnd w:id="1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Quando um ente não publica o que a lei obriga, isso não é tratado como falha de coleta, mas registrado como indício de descumprimento de transparência, com a base legal correspondente. A opacidade é um achado, não um obstáculo.</w:t>
      </w:r>
    </w:p>
    <w:p>
      <w:pPr>
        <w:pStyle w:val="Heading3"/>
        <w:keepNext/>
        <w:keepLines/>
        <w:spacing w:after="100" w:before="220"/>
      </w:pPr>
      <w:bookmarkStart w:name="_Toc16" w:id="16"/>
      <w:r>
        <w:t xml:space="preserve">P6. Coleta responsável</w:t>
      </w:r>
      <w:bookmarkEnd w:id="1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sistema se identifica em todas as requisições, respeita limites de taxa publicados, prefere sempre a API oficial ao raspador e jamais degrada a disponibilidade de um serviço público para terceiros.</w:t>
      </w:r>
    </w:p>
    <w:p>
      <w:pPr>
        <w:pStyle w:val="Heading1"/>
        <w:keepNext/>
        <w:keepLines/>
        <w:spacing w:after="160" w:before="380"/>
      </w:pPr>
      <w:bookmarkStart w:name="_Toc17" w:id="17"/>
      <w:r>
        <w:t xml:space="preserve">5. Escopo</w:t>
      </w:r>
      <w:bookmarkEnd w:id="17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905500" cy="505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Diagrama de contexto: atores e fontes externas do Lumen.</w:t>
      </w: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5.1 Escopo por esfera e fase</w:t>
      </w:r>
      <w:bookmarkEnd w:id="1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cobertura é construída em camadas, do mais estruturado para o menos estruturado. Essa ordem não é arbitrária: as fontes federais obrigatórias entregam cobertura nacional desde a primeira fase, o que permite começar a detectar padrões muito antes de o trabalho de cauda longa terminar.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3200"/>
        <w:gridCol w:w="3000"/>
        <w:gridCol w:w="1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Natureza da fonte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Federal obrigatória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os entes que cumprem a lei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estruturada (PNCP, SICONFI)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Federal complementar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União e transferências a estados e municípios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(CGU, Compras.gov, RFB, TSE)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Estadual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 unidades federativas e seus tribunais de contas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API, CSV ou HTML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Municipal por plataforma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Centenas de municípios por conector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Famílias de portal comerciais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Municipal cauda longa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Municípios restantes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PDF, XLS, HTML avulso, pedido LAI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" w:id="19"/>
      <w:r>
        <w:t xml:space="preserve">5.2 Objetos de análise no escopo</w:t>
      </w:r>
      <w:bookmarkEnd w:id="19"/>
    </w:p>
    <w:p>
      <w:pPr>
        <w:pStyle w:val="ListParagraph"/>
        <w:numPr>
          <w:ilvl w:val="0"/>
          <w:numId w:val="2"/>
        </w:numPr>
        <w:spacing w:after="70"/>
      </w:pPr>
      <w:r>
        <w:t xml:space="preserve">Processos de contratação: licitações, dispensas, inexigibilidades, com modalidade e amparo legal.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Contratos, seus aditivos, prorrogações e reajustes.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 contratados com quantidade, preço unitário e classificação de catálogo.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Cadeia da despesa: empenho, liquidação e pagamento.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Atas de registro de preço e planos anuais de contratação.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Convênios, transferências voluntárias e emendas parlamentares.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Atos autorizativos e os agentes públicos que os assinaram, no exercício da função.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Fornecedores, seu quadro societário, CNAE, capital social e data de abertura.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Sanções administrativas vigentes (CEIS, CNEP, CEPIM) e decisões de tribunais de contas.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Indicadores de cumprimento das obrigações de transparência de cada ente.</w:t>
      </w: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5.3 Fora de escopo na versão 1.0</w:t>
      </w:r>
      <w:bookmarkEnd w:id="20"/>
    </w:p>
    <w:p>
      <w:pPr>
        <w:pStyle w:val="ListParagraph"/>
        <w:numPr>
          <w:ilvl w:val="0"/>
          <w:numId w:val="2"/>
        </w:numPr>
        <w:spacing w:after="70"/>
      </w:pPr>
      <w:r>
        <w:t xml:space="preserve">Folha de pagamento individualizada de servidores, exceto quando já publicada de forma agregada e usada para indicadores do próprio ente.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Dados de beneficiários de programas sociais em nível individual.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Obras físicas com verificação em campo, imagens de satélite ou medição de execução.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Análise de conteúdo de processos judiciais.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Previsão de risco futuro por aprendizado de máquina supervisionado.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1" w:id="21"/>
      <w:r>
        <w:t xml:space="preserve">6. Público e partes interessadas</w:t>
      </w:r>
      <w:bookmarkEnd w:id="2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6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 interessada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espera do sistema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o sistema atende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Entender como o dinheiro do seu município é gasto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 por ente com linguagem simples e comparação com municípios semelhantes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Jornalista de dados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Encontrar pautas e sustentar a apuração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 avançada, exportação e dossiê de evidências com documentos originais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Órgão de controle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Priorizar onde alocar capacidade de auditoria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API, fila de indícios por severidade e exportação estruturada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Pesquisador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histórica normalizada e reprodutível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Exportação em Parquet e CSV com dicionário de dados versionado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público analisado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Corrigir informação incorreta a seu respeito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Canal de contestação com prazo definido e resposta publicada junto ao indício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Equipe do projeto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Operar com previsibilidade e sem risco jurídico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Vocabulário controlado, revisão humana obrigatória e trilha de auditoria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2" w:id="22"/>
      <w:r>
        <w:t xml:space="preserve">7. Premissas e restrições</w:t>
      </w:r>
      <w:bookmarkEnd w:id="22"/>
    </w:p>
    <w:p>
      <w:pPr>
        <w:pStyle w:val="Heading2"/>
        <w:keepNext/>
        <w:keepLines/>
        <w:spacing w:after="120" w:before="280"/>
      </w:pPr>
      <w:bookmarkStart w:name="_Toc23" w:id="23"/>
      <w:r>
        <w:t xml:space="preserve">7.1 Premissas</w:t>
      </w:r>
      <w:bookmarkEnd w:id="23"/>
    </w:p>
    <w:p>
      <w:pPr>
        <w:pStyle w:val="ListParagraph"/>
        <w:numPr>
          <w:ilvl w:val="0"/>
          <w:numId w:val="3"/>
        </w:numPr>
        <w:spacing w:after="70"/>
      </w:pPr>
      <w:r>
        <w:t xml:space="preserve">Os dados tratados são públicos por força da Lei 12.527/2011 (Lei de Acesso à Informação), da Lei Complementar 131/2009 e do art. 174 da Lei 14.133/2021, e sua reutilização é amparada pelo Decreto 8.777/2016, que instituiu a Política de Dados Abertos do Executivo federal.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As APIs federais citadas permanecerão disponíveis e gratuitas. Caso alguma seja descontinuada, o modelo de conectores permite substituir a fonte sem alterar o núcleo do sistema.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 qualidade do dado de origem é variável e frequentemente ruim. O sistema deve tratar dado incompleto como situação normal de operação, não como exceção.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O projeto será conduzido inicialmente por uma equipe muito pequena, o que torna a automação e a padronização mais importantes do que a sofisticação de cada componente.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7.2 Restrições</w:t>
      </w:r>
      <w:bookmarkEnd w:id="2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700"/>
        <w:gridCol w:w="3900"/>
        <w:gridCol w:w="400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Implicação no desenho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Legal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Vedado imputar ilícito a pessoa física ou jurídica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Vocabulário controlado aplicado por lint e testes automatizados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Legal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LGPD aplica-se a dados pessoais mesmo em bases públicas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de dados e minimização no estágio de normalização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Técnica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Limites de taxa das APIs oficiais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Fila com controle de vazão por fonte e coleta incremental por data de atualização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Técnica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na casa de bilhões de linhas ao longo dos anos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analítica colunar particionada, e não banco transacional único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Operacional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Equipe reduzida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Conectores declarativos em vez de código por ente; revisão humana só no que é publicado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Financeira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Orçamento de infraestrutura limitado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em objetos e processamento sob demanda em vez de cluster permanente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5" w:id="25"/>
      <w:r>
        <w:t xml:space="preserve">8. Riscos do projeto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00"/>
        <w:gridCol w:w="3200"/>
        <w:gridCol w:w="900"/>
        <w:gridCol w:w="900"/>
        <w:gridCol w:w="3900"/>
      </w:tblGrid>
      <w:tr>
        <w:trPr>
          <w:tblHeader/>
        </w:trPr>
        <w:tc>
          <w:tcPr>
            <w:tcW w:type="dxa" w:w="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R-01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Ação judicial por parte de ente ou fornecedor citado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Vocabulário controlado, revisão humana, evidência primária armazenada e direito de resposta imediato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R-02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Falso positivo publicado com repercussão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Limiar de publicação alto, revisão obrigatória acima de severidade média e errata com mesmo destaque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R-03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 oficial muda formato sem aviso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Testes de contrato por fonte, alarme de variação de esquema e camada bronze que permite reprocessar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R-04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Bloqueio de IP por coleta agressiva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Vazão conservadora, identificação no User-Agent e preferência por API oficial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R-05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Cauda longa municipal consumir todo o tempo do projeto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 entregue na fase 1 via PNCP e SICONFI; cauda longa tratada como incremento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R-06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de armazenamento crescer acima do previsto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colunar, particionamento por ano e política de ciclo de vida no armazenamento de objetos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R-07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Exposição indevida de dado pessoal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de dados, mascaramento de documentos e revisão de privacidade antes de cada publicação nova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R-08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ser percebido como perseguição política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Critérios idênticos para todos os entes, metodologia pública e ausência de recorte partidário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6" w:id="26"/>
      <w:r>
        <w:t xml:space="preserve">9. Glossário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Definição no contexto do projeto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 legal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da lei invocado para justificar a forma de contratação; no PNCP vem como campo estruturado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Ato autorizativo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pelo qual um agente público autoriza uma contratação ou despesa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CATMAT / CATSER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Catálogos federais de materiais e serviços, usados para normalizar itens entre entes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 / CNEP / CEPIM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Cadastros federais de empresas e entidades sancionadas ou impedidas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Conector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que sabe obter dados de uma fonte específica e entregar no formato canônico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DCA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Declaração de Contas Anuais enviada ao SICONFI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Dispensa de licitação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Contratação direta permitida por lei em hipóteses específicas, inclusive por valor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da federação ou órgão público analisado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Esquema canônico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Modelo de dados único para o qual toda fonte é convertida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Fracionamento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Divisão de uma despesa em parcelas menores, de modo que cada uma fique abaixo de um limite legal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de pares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 de entes comparáveis por porte, região e capacidade fiscal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Sinalização produzida por uma regra, sempre acompanhada de evidência e nunca de conclusão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PNCP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Nacional de Contratações Públicas, criado pela Lei 14.133/2021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RREO / RGF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Relatórios fiscais periódicos obrigatórios enviados ao SICONFI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SICONFI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Informações Contábeis e Fiscais do Setor Público Brasileiro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Trilha de evidência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 regra, parâmetros, dados de entrada e documentos que sustentam um indício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7" w:id="27"/>
      <w:r>
        <w:t xml:space="preserve">10. Documentos relacionados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400"/>
        <w:gridCol w:w="3400"/>
        <w:gridCol w:w="480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DOC-01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Visão e Escopo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documento</w:t>
            </w:r>
          </w:p>
        </w:tc>
      </w:tr>
      <w:tr>
        <w:trPr>
          <w:cantSplit/>
        </w:trPr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DOC-02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funcionais e não-funcionais numerados e rastreáveis</w:t>
            </w:r>
          </w:p>
        </w:tc>
      </w:tr>
      <w:tr>
        <w:trPr>
          <w:cantSplit/>
        </w:trP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DOC-03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Atores e fluxos detalhados de cada caso de uso</w:t>
            </w:r>
          </w:p>
        </w:tc>
      </w:tr>
      <w:tr>
        <w:trPr>
          <w:cantSplit/>
        </w:trPr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DOC-04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Arquitetura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Estilo arquitetural, containers, decisões registradas e stack</w:t>
            </w:r>
          </w:p>
        </w:tc>
      </w:tr>
      <w:tr>
        <w:trPr>
          <w:cantSplit/>
        </w:trP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DOC-05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Modelo de Dados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do esquema canônico e dicionário de dados</w:t>
            </w:r>
          </w:p>
        </w:tc>
      </w:tr>
      <w:tr>
        <w:trPr>
          <w:cantSplit/>
        </w:trPr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DOC-06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de Fontes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Fontes por esfera e estratégia de ingestão multiformato</w:t>
            </w:r>
          </w:p>
        </w:tc>
      </w:tr>
      <w:tr>
        <w:trPr>
          <w:cantSplit/>
        </w:trP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DOC-07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Motor de Detecção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de regras com fórmulas, limiares e falsos positivos</w:t>
            </w:r>
          </w:p>
        </w:tc>
      </w:tr>
      <w:tr>
        <w:trPr>
          <w:cantSplit/>
        </w:trPr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DOC-08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Política Jurídica e Editorial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legal, LGPD, vocabulário e direito de resposta</w:t>
            </w:r>
          </w:p>
        </w:tc>
      </w:tr>
      <w:tr>
        <w:trPr>
          <w:cantSplit/>
        </w:trP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DOC-09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Padrões de Código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Convenções, testes, CI/CD e definição de pronto</w:t>
            </w:r>
          </w:p>
        </w:tc>
      </w:tr>
      <w:tr>
        <w:trPr>
          <w:cantSplit/>
        </w:trPr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DOC-10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Roadmap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Fases, marcos, esforço e custos estimados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DOC-01 Visão e Escopo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ecf86eb1c0db551e597525e4b898c20877343e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DOC-01 - Visão e Escopo</dc:title>
  <dc:creator>Projeto Lumen</dc:creator>
  <dc:description>Por que o projeto existe, o que ele faz, o que ele nunca fará</dc:description>
  <cp:lastModifiedBy>Un-named</cp:lastModifiedBy>
  <cp:revision>1</cp:revision>
  <dcterms:created xsi:type="dcterms:W3CDTF">2026-10-21T09:24:16.453Z</dcterms:created>
  <dcterms:modified xsi:type="dcterms:W3CDTF">2026-10-21T09:24:16.456Z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