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900"/>
      </w:pPr>
      <w:r>
        <w:rPr>
          <w:b/>
          <w:bCs/>
          <w:color w:val="000000"/>
          <w:spacing w:val="60"/>
          <w:sz w:val="26"/>
          <w:szCs w:val="26"/>
        </w:rPr>
        <w:t xml:space="preserve">PROJETO LUMEN</w:t>
      </w:r>
    </w:p>
    <w:p>
      <w:pPr>
        <w:spacing w:after="400"/>
      </w:pPr>
      <w:r>
        <w:rPr>
          <w:color w:val="000000"/>
          <w:sz w:val="20"/>
          <w:szCs w:val="20"/>
        </w:rPr>
        <w:t xml:space="preserve">Monitoramento de contratações e despesas públicas do Brasil</w:t>
      </w:r>
    </w:p>
    <w:p>
      <w:pPr>
        <w:spacing w:after="80"/>
      </w:pPr>
      <w:r>
        <w:rPr>
          <w:b/>
          <w:bCs/>
          <w:color w:val="000000"/>
          <w:sz w:val="22"/>
          <w:szCs w:val="22"/>
        </w:rPr>
        <w:t xml:space="preserve">DOC-02</w:t>
      </w:r>
    </w:p>
    <w:p>
      <w:pPr>
        <w:spacing w:after="140"/>
      </w:pPr>
      <w:r>
        <w:rPr>
          <w:b/>
          <w:bCs/>
          <w:color w:val="000000"/>
          <w:sz w:val="48"/>
          <w:szCs w:val="48"/>
        </w:rPr>
        <w:t xml:space="preserve">Requisitos</w:t>
      </w:r>
    </w:p>
    <w:p>
      <w:pPr>
        <w:pBdr>
          <w:bottom w:val="single" w:color="000000" w:sz="8" w:space="14"/>
        </w:pBdr>
        <w:spacing w:after="700"/>
      </w:pPr>
      <w:r>
        <w:rPr>
          <w:i/>
          <w:iCs/>
          <w:color w:val="000000"/>
          <w:sz w:val="24"/>
          <w:szCs w:val="24"/>
        </w:rPr>
        <w:t xml:space="preserve">Requisitos funcionais e não-funcionais, numerados e rastreáveis</w:t>
      </w:r>
    </w:p>
    <w:tbl>
      <w:tblPr>
        <w:tblW w:type="dxa" w:w="96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</w:tblPr>
      <w:tblGrid>
        <w:gridCol w:w="2400"/>
        <w:gridCol w:w="7200"/>
      </w:tblGrid>
      <w:tr>
        <w:trPr>
          <w:cantSplit/>
        </w:trPr>
        <w:tc>
          <w:tcPr>
            <w:tcW w:type="dxa" w:w="24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Projeto</w:t>
            </w:r>
          </w:p>
        </w:tc>
        <w:tc>
          <w:tcPr>
            <w:tcW w:type="dxa" w:w="72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Lumen</w:t>
            </w:r>
          </w:p>
        </w:tc>
      </w:tr>
      <w:tr>
        <w:trPr>
          <w:cantSplit/>
        </w:trPr>
        <w:tc>
          <w:tcPr>
            <w:tcW w:type="dxa" w:w="24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Responsável</w:t>
            </w:r>
          </w:p>
        </w:tc>
        <w:tc>
          <w:tcPr>
            <w:tcW w:type="dxa" w:w="72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Gaspare</w:t>
            </w:r>
          </w:p>
        </w:tc>
      </w:tr>
      <w:tr>
        <w:trPr>
          <w:cantSplit/>
        </w:trPr>
        <w:tc>
          <w:tcPr>
            <w:tcW w:type="dxa" w:w="24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Versão</w:t>
            </w:r>
          </w:p>
        </w:tc>
        <w:tc>
          <w:tcPr>
            <w:tcW w:type="dxa" w:w="72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1.0</w:t>
            </w:r>
          </w:p>
        </w:tc>
      </w:tr>
      <w:tr>
        <w:trPr>
          <w:cantSplit/>
        </w:trPr>
        <w:tc>
          <w:tcPr>
            <w:tcW w:type="dxa" w:w="24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Data</w:t>
            </w:r>
          </w:p>
        </w:tc>
        <w:tc>
          <w:tcPr>
            <w:tcW w:type="dxa" w:w="72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18 de setembro de 2026</w:t>
            </w:r>
          </w:p>
        </w:tc>
      </w:tr>
      <w:tr>
        <w:trPr>
          <w:cantSplit/>
        </w:trPr>
        <w:tc>
          <w:tcPr>
            <w:tcW w:type="dxa" w:w="24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Situação</w:t>
            </w:r>
          </w:p>
        </w:tc>
        <w:tc>
          <w:tcPr>
            <w:tcW w:type="dxa" w:w="72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Documento base para início de desenvolvimento</w:t>
            </w:r>
          </w:p>
        </w:tc>
      </w:tr>
    </w:tbl>
    <w:p>
      <w:pPr>
        <w:spacing w:after="300"/>
      </w:pPr>
    </w:p>
    <w:p>
      <w:pPr>
        <w:spacing w:after="120"/>
      </w:pPr>
      <w:r>
        <w:rPr>
          <w:b w:val="false"/>
          <w:bCs w:val="false"/>
          <w:i/>
          <w:iCs/>
          <w:color w:val="000000"/>
          <w:sz w:val="18"/>
          <w:szCs w:val="18"/>
        </w:rPr>
        <w:t xml:space="preserve">Este documento integra o pacote de documentação do Projeto Lumen. Valores legais, limites e endpoints citados foram verificados em fontes oficiais em setembro de 2026 e devem ser reconferidos antes da implementação, pois são atualizados periodicamente por decreto.</w:t>
      </w:r>
    </w:p>
    <w:p>
      <w:r>
        <w:br w:type="page"/>
      </w:r>
    </w:p>
    <w:p>
      <w:pPr>
        <w:pStyle w:val="Heading1"/>
        <w:keepNext/>
        <w:keepLines/>
        <w:spacing w:after="160" w:before="380"/>
      </w:pPr>
      <w:bookmarkStart w:name="_Toc1" w:id="1"/>
      <w:r>
        <w:t xml:space="preserve">Sumário</w:t>
      </w:r>
      <w:bookmarkEnd w:id="1"/>
    </w:p>
    <w:p>
      <w:pPr>
        <w:spacing w:after="120"/>
      </w:pPr>
      <w:r>
        <w:rPr>
          <w:b w:val="false"/>
          <w:bCs w:val="false"/>
          <w:i/>
          <w:iCs/>
          <w:color w:val="000000"/>
          <w:sz w:val="18"/>
          <w:szCs w:val="18"/>
        </w:rPr>
        <w:t xml:space="preserve">Para preencher o sumário, selecione todo o documento (Ctrl+A) e atualize os campos (F9). No Word, também é possível clicar com o botão direito sobre o sumário e escolher Atualizar campo.</w:t>
      </w:r>
    </w:p>
    <w:sdt>
      <w:sdtPr>
        <w:alias w:val="Sumário"/>
      </w:sdtPr>
      <w:sdtContent>
        <w:p>
          <w:pPr>
            <w:pStyle w:val="TOC1"/>
            <w:tabs>
              <w:tab w:val="right" w:pos="9638" w:leader="dot"/>
            </w:tabs>
          </w:pPr>
          <w:r>
            <w:fldChar w:fldCharType="begin" w:dirty="true"/>
            <w:instrText xml:space="preserve">TOC \h \o "1-3"</w:instrText>
            <w:fldChar w:fldCharType="separate"/>
          </w:r>
          <w:hyperlink w:history="1" w:anchor="_Toc1">
            <w:r>
              <w:t xml:space="preserve">Sumário</w:t>
            </w:r>
            <w:r>
              <w:tab/>
            </w:r>
            <w:r>
              <w:fldChar w:fldCharType="begin" w:dirty="true"/>
              <w:instrText xml:space="preserve">PAGEREF _Toc1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2">
            <w:r>
              <w:t xml:space="preserve">1. Como ler este documento</w:t>
            </w:r>
            <w:r>
              <w:tab/>
            </w:r>
            <w:r>
              <w:fldChar w:fldCharType="begin" w:dirty="true"/>
              <w:instrText xml:space="preserve">PAGEREF _Toc2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3">
            <w:r>
              <w:t xml:space="preserve">2. Requisitos funcionais</w:t>
            </w:r>
            <w:r>
              <w:tab/>
            </w:r>
            <w:r>
              <w:fldChar w:fldCharType="begin" w:dirty="true"/>
              <w:instrText xml:space="preserve">PAGEREF _Toc3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4">
            <w:r>
              <w:t xml:space="preserve">2.1 Módulo de Coleta</w:t>
            </w:r>
            <w:r>
              <w:tab/>
            </w:r>
            <w:r>
              <w:fldChar w:fldCharType="begin" w:dirty="true"/>
              <w:instrText xml:space="preserve">PAGEREF _Toc4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5">
            <w:r>
              <w:t xml:space="preserve">2.2 Módulo de Normalização</w:t>
            </w:r>
            <w:r>
              <w:tab/>
            </w:r>
            <w:r>
              <w:fldChar w:fldCharType="begin" w:dirty="true"/>
              <w:instrText xml:space="preserve">PAGEREF _Toc5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6">
            <w:r>
              <w:t xml:space="preserve">2.3 Módulo de Enriquecimento</w:t>
            </w:r>
            <w:r>
              <w:tab/>
            </w:r>
            <w:r>
              <w:fldChar w:fldCharType="begin" w:dirty="true"/>
              <w:instrText xml:space="preserve">PAGEREF _Toc6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7">
            <w:r>
              <w:t xml:space="preserve">2.4 Módulo de Detecção</w:t>
            </w:r>
            <w:r>
              <w:tab/>
            </w:r>
            <w:r>
              <w:fldChar w:fldCharType="begin" w:dirty="true"/>
              <w:instrText xml:space="preserve">PAGEREF _Toc7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8">
            <w:r>
              <w:t xml:space="preserve">2.5 Módulo de Conformidade de Transparência</w:t>
            </w:r>
            <w:r>
              <w:tab/>
            </w:r>
            <w:r>
              <w:fldChar w:fldCharType="begin" w:dirty="true"/>
              <w:instrText xml:space="preserve">PAGEREF _Toc8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9">
            <w:r>
              <w:t xml:space="preserve">2.6 Módulo de Publicação</w:t>
            </w:r>
            <w:r>
              <w:tab/>
            </w:r>
            <w:r>
              <w:fldChar w:fldCharType="begin" w:dirty="true"/>
              <w:instrText xml:space="preserve">PAGEREF _Toc9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10">
            <w:r>
              <w:t xml:space="preserve">2.7 Módulo de Direito de Resposta</w:t>
            </w:r>
            <w:r>
              <w:tab/>
            </w:r>
            <w:r>
              <w:fldChar w:fldCharType="begin" w:dirty="true"/>
              <w:instrText xml:space="preserve">PAGEREF _Toc10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11">
            <w:r>
              <w:t xml:space="preserve">2.8 Módulo de Administração</w:t>
            </w:r>
            <w:r>
              <w:tab/>
            </w:r>
            <w:r>
              <w:fldChar w:fldCharType="begin" w:dirty="true"/>
              <w:instrText xml:space="preserve">PAGEREF _Toc11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12">
            <w:r>
              <w:t xml:space="preserve">3. Requisitos não-funcionais</w:t>
            </w:r>
            <w:r>
              <w:tab/>
            </w:r>
            <w:r>
              <w:fldChar w:fldCharType="begin" w:dirty="true"/>
              <w:instrText xml:space="preserve">PAGEREF _Toc12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13">
            <w:r>
              <w:t xml:space="preserve">3.1 Desempenho e escala</w:t>
            </w:r>
            <w:r>
              <w:tab/>
            </w:r>
            <w:r>
              <w:fldChar w:fldCharType="begin" w:dirty="true"/>
              <w:instrText xml:space="preserve">PAGEREF _Toc13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14">
            <w:r>
              <w:t xml:space="preserve">3.2 Confiabilidade e operação</w:t>
            </w:r>
            <w:r>
              <w:tab/>
            </w:r>
            <w:r>
              <w:fldChar w:fldCharType="begin" w:dirty="true"/>
              <w:instrText xml:space="preserve">PAGEREF _Toc14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15">
            <w:r>
              <w:t xml:space="preserve">3.3 Segurança</w:t>
            </w:r>
            <w:r>
              <w:tab/>
            </w:r>
            <w:r>
              <w:fldChar w:fldCharType="begin" w:dirty="true"/>
              <w:instrText xml:space="preserve">PAGEREF _Toc15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16">
            <w:r>
              <w:t xml:space="preserve">3.4 Privacidade e conformidade legal</w:t>
            </w:r>
            <w:r>
              <w:tab/>
            </w:r>
            <w:r>
              <w:fldChar w:fldCharType="begin" w:dirty="true"/>
              <w:instrText xml:space="preserve">PAGEREF _Toc16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17">
            <w:r>
              <w:t xml:space="preserve">3.5 Auditabilidade e reprodutibilidade</w:t>
            </w:r>
            <w:r>
              <w:tab/>
            </w:r>
            <w:r>
              <w:fldChar w:fldCharType="begin" w:dirty="true"/>
              <w:instrText xml:space="preserve">PAGEREF _Toc17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18">
            <w:r>
              <w:t xml:space="preserve">3.6 Manutenibilidade e custo</w:t>
            </w:r>
            <w:r>
              <w:tab/>
            </w:r>
            <w:r>
              <w:fldChar w:fldCharType="begin" w:dirty="true"/>
              <w:instrText xml:space="preserve">PAGEREF _Toc18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19">
            <w:r>
              <w:t xml:space="preserve">4. Matriz de rastreabilidade</w:t>
            </w:r>
            <w:r>
              <w:tab/>
            </w:r>
            <w:r>
              <w:fldChar w:fldCharType="begin" w:dirty="true"/>
              <w:instrText xml:space="preserve">PAGEREF _Toc19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20">
            <w:r>
              <w:t xml:space="preserve">5. Critérios de aceitação da versão 1.0</w:t>
            </w:r>
            <w:r>
              <w:tab/>
            </w:r>
            <w:r>
              <w:fldChar w:fldCharType="begin" w:dirty="true"/>
              <w:instrText xml:space="preserve">PAGEREF _Toc20 \h</w:instrText>
              <w:fldChar w:fldCharType="separate"/>
              <w:fldChar w:fldCharType="end"/>
            </w:r>
          </w:hyperlink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keepNext/>
        <w:keepLines/>
        <w:spacing w:after="160" w:before="380"/>
      </w:pPr>
      <w:bookmarkStart w:name="_Toc2" w:id="2"/>
      <w:r>
        <w:t xml:space="preserve">1. Como ler este documento</w:t>
      </w:r>
      <w:bookmarkEnd w:id="2"/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Cada requisito tem um código único e permanente. Códigos não são reaproveitados: se um requisito for removido, seu código é aposentado. O prefixo indica o módulo, o que permite rastrear um requisito até o caso de uso (DOC-03), o componente de arquitetura (DOC-04) e o teste que o cobre (DOC-09).</w:t>
      </w:r>
    </w:p>
    <w:tbl>
      <w:tblPr>
        <w:tblW w:type="dxa" w:w="96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</w:tblPr>
      <w:tblGrid>
        <w:gridCol w:w="1500"/>
        <w:gridCol w:w="2600"/>
        <w:gridCol w:w="5500"/>
      </w:tblGrid>
      <w:tr>
        <w:trPr>
          <w:tblHeader/>
        </w:trPr>
        <w:tc>
          <w:tcPr>
            <w:tcW w:type="dxa" w:w="15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Prefixo</w:t>
            </w:r>
          </w:p>
        </w:tc>
        <w:tc>
          <w:tcPr>
            <w:tcW w:type="dxa" w:w="26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Módulo</w:t>
            </w:r>
          </w:p>
        </w:tc>
        <w:tc>
          <w:tcPr>
            <w:tcW w:type="dxa" w:w="55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Responsabilidade</w:t>
            </w:r>
          </w:p>
        </w:tc>
      </w:tr>
      <w:tr>
        <w:trPr>
          <w:cantSplit/>
        </w:trPr>
        <w:tc>
          <w:tcPr>
            <w:tcW w:type="dxa" w:w="15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RF-CO</w:t>
            </w:r>
          </w:p>
        </w:tc>
        <w:tc>
          <w:tcPr>
            <w:tcW w:type="dxa" w:w="26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Coleta</w:t>
            </w:r>
          </w:p>
        </w:tc>
        <w:tc>
          <w:tcPr>
            <w:tcW w:type="dxa" w:w="55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Obter dados brutos das fontes e preservá-los como prova</w:t>
            </w:r>
          </w:p>
        </w:tc>
      </w:tr>
      <w:tr>
        <w:trPr>
          <w:cantSplit/>
        </w:trPr>
        <w:tc>
          <w:tcPr>
            <w:tcW w:type="dxa" w:w="15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RF-NO</w:t>
            </w:r>
          </w:p>
        </w:tc>
        <w:tc>
          <w:tcPr>
            <w:tcW w:type="dxa" w:w="26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Normalização</w:t>
            </w:r>
          </w:p>
        </w:tc>
        <w:tc>
          <w:tcPr>
            <w:tcW w:type="dxa" w:w="55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Converter qualquer fonte para o esquema canônico</w:t>
            </w:r>
          </w:p>
        </w:tc>
      </w:tr>
      <w:tr>
        <w:trPr>
          <w:cantSplit/>
        </w:trPr>
        <w:tc>
          <w:tcPr>
            <w:tcW w:type="dxa" w:w="15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RF-EN</w:t>
            </w:r>
          </w:p>
        </w:tc>
        <w:tc>
          <w:tcPr>
            <w:tcW w:type="dxa" w:w="26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Enriquecimento</w:t>
            </w:r>
          </w:p>
        </w:tc>
        <w:tc>
          <w:tcPr>
            <w:tcW w:type="dxa" w:w="55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Agregar contexto: societário, catálogo, grupo de pares</w:t>
            </w:r>
          </w:p>
        </w:tc>
      </w:tr>
      <w:tr>
        <w:trPr>
          <w:cantSplit/>
        </w:trPr>
        <w:tc>
          <w:tcPr>
            <w:tcW w:type="dxa" w:w="15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RF-DE</w:t>
            </w:r>
          </w:p>
        </w:tc>
        <w:tc>
          <w:tcPr>
            <w:tcW w:type="dxa" w:w="26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Detecção</w:t>
            </w:r>
          </w:p>
        </w:tc>
        <w:tc>
          <w:tcPr>
            <w:tcW w:type="dxa" w:w="55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Executar regras e produzir indícios com evidência</w:t>
            </w:r>
          </w:p>
        </w:tc>
      </w:tr>
      <w:tr>
        <w:trPr>
          <w:cantSplit/>
        </w:trPr>
        <w:tc>
          <w:tcPr>
            <w:tcW w:type="dxa" w:w="15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RF-CF</w:t>
            </w:r>
          </w:p>
        </w:tc>
        <w:tc>
          <w:tcPr>
            <w:tcW w:type="dxa" w:w="26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Conformidade</w:t>
            </w:r>
          </w:p>
        </w:tc>
        <w:tc>
          <w:tcPr>
            <w:tcW w:type="dxa" w:w="55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Medir cumprimento das obrigações de transparência</w:t>
            </w:r>
          </w:p>
        </w:tc>
      </w:tr>
      <w:tr>
        <w:trPr>
          <w:cantSplit/>
        </w:trPr>
        <w:tc>
          <w:tcPr>
            <w:tcW w:type="dxa" w:w="15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RF-PU</w:t>
            </w:r>
          </w:p>
        </w:tc>
        <w:tc>
          <w:tcPr>
            <w:tcW w:type="dxa" w:w="26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Publicação</w:t>
            </w:r>
          </w:p>
        </w:tc>
        <w:tc>
          <w:tcPr>
            <w:tcW w:type="dxa" w:w="55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Expor dados e indícios ao público com linguagem controlada</w:t>
            </w:r>
          </w:p>
        </w:tc>
      </w:tr>
      <w:tr>
        <w:trPr>
          <w:cantSplit/>
        </w:trPr>
        <w:tc>
          <w:tcPr>
            <w:tcW w:type="dxa" w:w="15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RF-DR</w:t>
            </w:r>
          </w:p>
        </w:tc>
        <w:tc>
          <w:tcPr>
            <w:tcW w:type="dxa" w:w="26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Direito de resposta</w:t>
            </w:r>
          </w:p>
        </w:tc>
        <w:tc>
          <w:tcPr>
            <w:tcW w:type="dxa" w:w="55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Receber, tratar e publicar contestações</w:t>
            </w:r>
          </w:p>
        </w:tc>
      </w:tr>
      <w:tr>
        <w:trPr>
          <w:cantSplit/>
        </w:trPr>
        <w:tc>
          <w:tcPr>
            <w:tcW w:type="dxa" w:w="15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RF-AD</w:t>
            </w:r>
          </w:p>
        </w:tc>
        <w:tc>
          <w:tcPr>
            <w:tcW w:type="dxa" w:w="26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Administração</w:t>
            </w:r>
          </w:p>
        </w:tc>
        <w:tc>
          <w:tcPr>
            <w:tcW w:type="dxa" w:w="55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Operar o sistema: fontes, regras, revisão, auditoria</w:t>
            </w:r>
          </w:p>
        </w:tc>
      </w:tr>
      <w:tr>
        <w:trPr>
          <w:cantSplit/>
        </w:trPr>
        <w:tc>
          <w:tcPr>
            <w:tcW w:type="dxa" w:w="15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RNF</w:t>
            </w:r>
          </w:p>
        </w:tc>
        <w:tc>
          <w:tcPr>
            <w:tcW w:type="dxa" w:w="26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Não-funcional</w:t>
            </w:r>
          </w:p>
        </w:tc>
        <w:tc>
          <w:tcPr>
            <w:tcW w:type="dxa" w:w="55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Qualidades transversais do sistema</w:t>
            </w:r>
          </w:p>
        </w:tc>
      </w:tr>
    </w:tbl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A coluna Prioridade usa MoSCoW: M obrigatório para a versão 1.0, S importante, C desejável, W adiado para versão futura.</w:t>
      </w:r>
    </w:p>
    <w:p>
      <w:r>
        <w:br w:type="page"/>
      </w:r>
    </w:p>
    <w:p>
      <w:pPr>
        <w:pStyle w:val="Heading1"/>
        <w:keepNext/>
        <w:keepLines/>
        <w:spacing w:after="160" w:before="380"/>
      </w:pPr>
      <w:bookmarkStart w:name="_Toc3" w:id="3"/>
      <w:r>
        <w:t xml:space="preserve">2. Requisitos funcionais</w:t>
      </w:r>
      <w:bookmarkEnd w:id="3"/>
    </w:p>
    <w:p>
      <w:pPr>
        <w:pStyle w:val="Heading2"/>
        <w:keepNext/>
        <w:keepLines/>
        <w:spacing w:after="120" w:before="280"/>
      </w:pPr>
      <w:bookmarkStart w:name="_Toc4" w:id="4"/>
      <w:r>
        <w:t xml:space="preserve">2.1 Módulo de Coleta</w:t>
      </w:r>
      <w:bookmarkEnd w:id="4"/>
    </w:p>
    <w:tbl>
      <w:tblPr>
        <w:tblW w:type="dxa" w:w="96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</w:tblPr>
      <w:tblGrid>
        <w:gridCol w:w="1100"/>
        <w:gridCol w:w="7600"/>
        <w:gridCol w:w="900"/>
      </w:tblGrid>
      <w:tr>
        <w:trPr>
          <w:tblHeader/>
        </w:trPr>
        <w:tc>
          <w:tcPr>
            <w:tcW w:type="dxa" w:w="11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Cód.</w:t>
            </w:r>
          </w:p>
        </w:tc>
        <w:tc>
          <w:tcPr>
            <w:tcW w:type="dxa" w:w="76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Requisito</w:t>
            </w:r>
          </w:p>
        </w:tc>
        <w:tc>
          <w:tcPr>
            <w:tcW w:type="dxa" w:w="9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Prio.</w:t>
            </w:r>
          </w:p>
        </w:tc>
      </w:tr>
      <w:tr>
        <w:trPr>
          <w:cantSplit/>
        </w:trPr>
        <w:tc>
          <w:tcPr>
            <w:tcW w:type="dxa" w:w="11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RF-CO-01</w:t>
            </w:r>
          </w:p>
        </w:tc>
        <w:tc>
          <w:tcPr>
            <w:tcW w:type="dxa" w:w="76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O sistema deve coletar contratações, contratos, atas e planos de contratação do PNCP por data de publicação e por data de atualização global, suportando coleta incremental.</w:t>
            </w:r>
          </w:p>
        </w:tc>
        <w:tc>
          <w:tcPr>
            <w:tcW w:type="dxa" w:w="9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</w:t>
            </w:r>
          </w:p>
        </w:tc>
      </w:tr>
      <w:tr>
        <w:trPr>
          <w:cantSplit/>
        </w:trPr>
        <w:tc>
          <w:tcPr>
            <w:tcW w:type="dxa" w:w="11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RF-CO-02</w:t>
            </w:r>
          </w:p>
        </w:tc>
        <w:tc>
          <w:tcPr>
            <w:tcW w:type="dxa" w:w="76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O sistema deve coletar RREO, RGF e DCA do SICONFI para todos os entes e exercícios disponíveis.</w:t>
            </w:r>
          </w:p>
        </w:tc>
        <w:tc>
          <w:tcPr>
            <w:tcW w:type="dxa" w:w="9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</w:t>
            </w:r>
          </w:p>
        </w:tc>
      </w:tr>
      <w:tr>
        <w:trPr>
          <w:cantSplit/>
        </w:trPr>
        <w:tc>
          <w:tcPr>
            <w:tcW w:type="dxa" w:w="11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RF-CO-03</w:t>
            </w:r>
          </w:p>
        </w:tc>
        <w:tc>
          <w:tcPr>
            <w:tcW w:type="dxa" w:w="76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O sistema deve coletar despesas, convênios, emendas parlamentares e cadastros de sanção do Portal da Transparência da CGU.</w:t>
            </w:r>
          </w:p>
        </w:tc>
        <w:tc>
          <w:tcPr>
            <w:tcW w:type="dxa" w:w="9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</w:t>
            </w:r>
          </w:p>
        </w:tc>
      </w:tr>
      <w:tr>
        <w:trPr>
          <w:cantSplit/>
        </w:trPr>
        <w:tc>
          <w:tcPr>
            <w:tcW w:type="dxa" w:w="11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RF-CO-04</w:t>
            </w:r>
          </w:p>
        </w:tc>
        <w:tc>
          <w:tcPr>
            <w:tcW w:type="dxa" w:w="76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O sistema deve ingerir a base pública de CNPJ da Receita Federal, incluindo quadro societário, CNAE e capital social.</w:t>
            </w:r>
          </w:p>
        </w:tc>
        <w:tc>
          <w:tcPr>
            <w:tcW w:type="dxa" w:w="9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</w:t>
            </w:r>
          </w:p>
        </w:tc>
      </w:tr>
      <w:tr>
        <w:trPr>
          <w:cantSplit/>
        </w:trPr>
        <w:tc>
          <w:tcPr>
            <w:tcW w:type="dxa" w:w="11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RF-CO-05</w:t>
            </w:r>
          </w:p>
        </w:tc>
        <w:tc>
          <w:tcPr>
            <w:tcW w:type="dxa" w:w="76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Toda coleta deve armazenar o artefato bruto exatamente como recebido, sem qualquer transformação.</w:t>
            </w:r>
          </w:p>
        </w:tc>
        <w:tc>
          <w:tcPr>
            <w:tcW w:type="dxa" w:w="9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</w:t>
            </w:r>
          </w:p>
        </w:tc>
      </w:tr>
      <w:tr>
        <w:trPr>
          <w:cantSplit/>
        </w:trPr>
        <w:tc>
          <w:tcPr>
            <w:tcW w:type="dxa" w:w="11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RF-CO-06</w:t>
            </w:r>
          </w:p>
        </w:tc>
        <w:tc>
          <w:tcPr>
            <w:tcW w:type="dxa" w:w="76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Todo artefato bruto deve ser gravado com URL de origem, hash SHA-256, carimbo de tempo e cabeçalhos de resposta.</w:t>
            </w:r>
          </w:p>
        </w:tc>
        <w:tc>
          <w:tcPr>
            <w:tcW w:type="dxa" w:w="9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</w:t>
            </w:r>
          </w:p>
        </w:tc>
      </w:tr>
      <w:tr>
        <w:trPr>
          <w:cantSplit/>
        </w:trPr>
        <w:tc>
          <w:tcPr>
            <w:tcW w:type="dxa" w:w="11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RF-CO-07</w:t>
            </w:r>
          </w:p>
        </w:tc>
        <w:tc>
          <w:tcPr>
            <w:tcW w:type="dxa" w:w="76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Artefatos brutos devem ser imutáveis. Nova coleta da mesma URL gera nova versão, nunca sobrescrita.</w:t>
            </w:r>
          </w:p>
        </w:tc>
        <w:tc>
          <w:tcPr>
            <w:tcW w:type="dxa" w:w="9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</w:t>
            </w:r>
          </w:p>
        </w:tc>
      </w:tr>
      <w:tr>
        <w:trPr>
          <w:cantSplit/>
        </w:trPr>
        <w:tc>
          <w:tcPr>
            <w:tcW w:type="dxa" w:w="11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RF-CO-08</w:t>
            </w:r>
          </w:p>
        </w:tc>
        <w:tc>
          <w:tcPr>
            <w:tcW w:type="dxa" w:w="76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O sistema deve respeitar limites de taxa configuráveis por fonte, com valor padrão conservador.</w:t>
            </w:r>
          </w:p>
        </w:tc>
        <w:tc>
          <w:tcPr>
            <w:tcW w:type="dxa" w:w="9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</w:t>
            </w:r>
          </w:p>
        </w:tc>
      </w:tr>
      <w:tr>
        <w:trPr>
          <w:cantSplit/>
        </w:trPr>
        <w:tc>
          <w:tcPr>
            <w:tcW w:type="dxa" w:w="11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RF-CO-09</w:t>
            </w:r>
          </w:p>
        </w:tc>
        <w:tc>
          <w:tcPr>
            <w:tcW w:type="dxa" w:w="76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O sistema deve identificar-se em todas as requisições com User-Agent próprio contendo nome do projeto e canal de contato.</w:t>
            </w:r>
          </w:p>
        </w:tc>
        <w:tc>
          <w:tcPr>
            <w:tcW w:type="dxa" w:w="9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</w:t>
            </w:r>
          </w:p>
        </w:tc>
      </w:tr>
      <w:tr>
        <w:trPr>
          <w:cantSplit/>
        </w:trPr>
        <w:tc>
          <w:tcPr>
            <w:tcW w:type="dxa" w:w="11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RF-CO-10</w:t>
            </w:r>
          </w:p>
        </w:tc>
        <w:tc>
          <w:tcPr>
            <w:tcW w:type="dxa" w:w="76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O sistema deve suportar conectores declarativos, definidos em arquivo de especificação, sem necessidade de novo código.</w:t>
            </w:r>
          </w:p>
        </w:tc>
        <w:tc>
          <w:tcPr>
            <w:tcW w:type="dxa" w:w="9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</w:t>
            </w:r>
          </w:p>
        </w:tc>
      </w:tr>
      <w:tr>
        <w:trPr>
          <w:cantSplit/>
        </w:trPr>
        <w:tc>
          <w:tcPr>
            <w:tcW w:type="dxa" w:w="11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RF-CO-11</w:t>
            </w:r>
          </w:p>
        </w:tc>
        <w:tc>
          <w:tcPr>
            <w:tcW w:type="dxa" w:w="76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O sistema deve extrair dados estruturados de PDF, incluindo PDF baseado em imagem, por meio de OCR.</w:t>
            </w:r>
          </w:p>
        </w:tc>
        <w:tc>
          <w:tcPr>
            <w:tcW w:type="dxa" w:w="9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</w:t>
            </w:r>
          </w:p>
        </w:tc>
      </w:tr>
      <w:tr>
        <w:trPr>
          <w:cantSplit/>
        </w:trPr>
        <w:tc>
          <w:tcPr>
            <w:tcW w:type="dxa" w:w="11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RF-CO-12</w:t>
            </w:r>
          </w:p>
        </w:tc>
        <w:tc>
          <w:tcPr>
            <w:tcW w:type="dxa" w:w="76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O sistema deve extrair dados de planilhas XLSX, XLS, CSV e de tabelas em HTML.</w:t>
            </w:r>
          </w:p>
        </w:tc>
        <w:tc>
          <w:tcPr>
            <w:tcW w:type="dxa" w:w="9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</w:t>
            </w:r>
          </w:p>
        </w:tc>
      </w:tr>
      <w:tr>
        <w:trPr>
          <w:cantSplit/>
        </w:trPr>
        <w:tc>
          <w:tcPr>
            <w:tcW w:type="dxa" w:w="11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RF-CO-13</w:t>
            </w:r>
          </w:p>
        </w:tc>
        <w:tc>
          <w:tcPr>
            <w:tcW w:type="dxa" w:w="76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O sistema deve permitir upload manual supervisionado de documentos obtidos por pedido de acesso à informação.</w:t>
            </w:r>
          </w:p>
        </w:tc>
        <w:tc>
          <w:tcPr>
            <w:tcW w:type="dxa" w:w="9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</w:t>
            </w:r>
          </w:p>
        </w:tc>
      </w:tr>
      <w:tr>
        <w:trPr>
          <w:cantSplit/>
        </w:trPr>
        <w:tc>
          <w:tcPr>
            <w:tcW w:type="dxa" w:w="11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RF-CO-14</w:t>
            </w:r>
          </w:p>
        </w:tc>
        <w:tc>
          <w:tcPr>
            <w:tcW w:type="dxa" w:w="76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Falha de coleta deve ser registrada com causa classificada, distinguindo indisponibilidade temporária de ausência de publicação.</w:t>
            </w:r>
          </w:p>
        </w:tc>
        <w:tc>
          <w:tcPr>
            <w:tcW w:type="dxa" w:w="9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</w:t>
            </w:r>
          </w:p>
        </w:tc>
      </w:tr>
      <w:tr>
        <w:trPr>
          <w:cantSplit/>
        </w:trPr>
        <w:tc>
          <w:tcPr>
            <w:tcW w:type="dxa" w:w="11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RF-CO-15</w:t>
            </w:r>
          </w:p>
        </w:tc>
        <w:tc>
          <w:tcPr>
            <w:tcW w:type="dxa" w:w="76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O sistema deve retentar coletas falhas com espera exponencial e limite máximo de tentativas por janela.</w:t>
            </w:r>
          </w:p>
        </w:tc>
        <w:tc>
          <w:tcPr>
            <w:tcW w:type="dxa" w:w="9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</w:t>
            </w:r>
          </w:p>
        </w:tc>
      </w:tr>
      <w:tr>
        <w:trPr>
          <w:cantSplit/>
        </w:trPr>
        <w:tc>
          <w:tcPr>
            <w:tcW w:type="dxa" w:w="11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RF-CO-16</w:t>
            </w:r>
          </w:p>
        </w:tc>
        <w:tc>
          <w:tcPr>
            <w:tcW w:type="dxa" w:w="76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O sistema não deve tentar contornar CAPTCHA, autenticação ou qualquer controle técnico de acesso.</w:t>
            </w:r>
          </w:p>
        </w:tc>
        <w:tc>
          <w:tcPr>
            <w:tcW w:type="dxa" w:w="9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</w:t>
            </w:r>
          </w:p>
        </w:tc>
      </w:tr>
      <w:tr>
        <w:trPr>
          <w:cantSplit/>
        </w:trPr>
        <w:tc>
          <w:tcPr>
            <w:tcW w:type="dxa" w:w="11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RF-CO-17</w:t>
            </w:r>
          </w:p>
        </w:tc>
        <w:tc>
          <w:tcPr>
            <w:tcW w:type="dxa" w:w="76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O sistema deve detectar mudança de esquema na fonte e alarmar sem interromper a coleta das demais fontes.</w:t>
            </w:r>
          </w:p>
        </w:tc>
        <w:tc>
          <w:tcPr>
            <w:tcW w:type="dxa" w:w="9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</w:t>
            </w:r>
          </w:p>
        </w:tc>
      </w:tr>
      <w:tr>
        <w:trPr>
          <w:cantSplit/>
        </w:trPr>
        <w:tc>
          <w:tcPr>
            <w:tcW w:type="dxa" w:w="11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RF-CO-18</w:t>
            </w:r>
          </w:p>
        </w:tc>
        <w:tc>
          <w:tcPr>
            <w:tcW w:type="dxa" w:w="76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O sistema deve coletar dados de doações e candidaturas do repositório de dados abertos do TSE.</w:t>
            </w:r>
          </w:p>
        </w:tc>
        <w:tc>
          <w:tcPr>
            <w:tcW w:type="dxa" w:w="9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</w:t>
            </w:r>
          </w:p>
        </w:tc>
      </w:tr>
    </w:tbl>
    <w:p>
      <w:pPr>
        <w:pStyle w:val="Heading2"/>
        <w:keepNext/>
        <w:keepLines/>
        <w:spacing w:after="120" w:before="280"/>
      </w:pPr>
      <w:bookmarkStart w:name="_Toc5" w:id="5"/>
      <w:r>
        <w:t xml:space="preserve">2.2 Módulo de Normalização</w:t>
      </w:r>
      <w:bookmarkEnd w:id="5"/>
    </w:p>
    <w:tbl>
      <w:tblPr>
        <w:tblW w:type="dxa" w:w="96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</w:tblPr>
      <w:tblGrid>
        <w:gridCol w:w="1100"/>
        <w:gridCol w:w="7600"/>
        <w:gridCol w:w="900"/>
      </w:tblGrid>
      <w:tr>
        <w:trPr>
          <w:tblHeader/>
        </w:trPr>
        <w:tc>
          <w:tcPr>
            <w:tcW w:type="dxa" w:w="11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Cód.</w:t>
            </w:r>
          </w:p>
        </w:tc>
        <w:tc>
          <w:tcPr>
            <w:tcW w:type="dxa" w:w="76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Requisito</w:t>
            </w:r>
          </w:p>
        </w:tc>
        <w:tc>
          <w:tcPr>
            <w:tcW w:type="dxa" w:w="9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Prio.</w:t>
            </w:r>
          </w:p>
        </w:tc>
      </w:tr>
      <w:tr>
        <w:trPr>
          <w:cantSplit/>
        </w:trPr>
        <w:tc>
          <w:tcPr>
            <w:tcW w:type="dxa" w:w="11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RF-NO-01</w:t>
            </w:r>
          </w:p>
        </w:tc>
        <w:tc>
          <w:tcPr>
            <w:tcW w:type="dxa" w:w="76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O sistema deve converter todo dado coletado para o esquema canônico definido no DOC-05.</w:t>
            </w:r>
          </w:p>
        </w:tc>
        <w:tc>
          <w:tcPr>
            <w:tcW w:type="dxa" w:w="9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</w:t>
            </w:r>
          </w:p>
        </w:tc>
      </w:tr>
      <w:tr>
        <w:trPr>
          <w:cantSplit/>
        </w:trPr>
        <w:tc>
          <w:tcPr>
            <w:tcW w:type="dxa" w:w="11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RF-NO-02</w:t>
            </w:r>
          </w:p>
        </w:tc>
        <w:tc>
          <w:tcPr>
            <w:tcW w:type="dxa" w:w="76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Cada registro normalizado deve manter referência ao artefato bruto que o originou.</w:t>
            </w:r>
          </w:p>
        </w:tc>
        <w:tc>
          <w:tcPr>
            <w:tcW w:type="dxa" w:w="9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</w:t>
            </w:r>
          </w:p>
        </w:tc>
      </w:tr>
      <w:tr>
        <w:trPr>
          <w:cantSplit/>
        </w:trPr>
        <w:tc>
          <w:tcPr>
            <w:tcW w:type="dxa" w:w="11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RF-NO-03</w:t>
            </w:r>
          </w:p>
        </w:tc>
        <w:tc>
          <w:tcPr>
            <w:tcW w:type="dxa" w:w="76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O sistema deve resolver identidade de fornecedores por CNPJ raiz e filial, tratando grafias divergentes de razão social.</w:t>
            </w:r>
          </w:p>
        </w:tc>
        <w:tc>
          <w:tcPr>
            <w:tcW w:type="dxa" w:w="9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</w:t>
            </w:r>
          </w:p>
        </w:tc>
      </w:tr>
      <w:tr>
        <w:trPr>
          <w:cantSplit/>
        </w:trPr>
        <w:tc>
          <w:tcPr>
            <w:tcW w:type="dxa" w:w="11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RF-NO-04</w:t>
            </w:r>
          </w:p>
        </w:tc>
        <w:tc>
          <w:tcPr>
            <w:tcW w:type="dxa" w:w="76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O sistema deve resolver identidade de entes por código IBGE e CNPJ, tratando variações de nome.</w:t>
            </w:r>
          </w:p>
        </w:tc>
        <w:tc>
          <w:tcPr>
            <w:tcW w:type="dxa" w:w="9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</w:t>
            </w:r>
          </w:p>
        </w:tc>
      </w:tr>
      <w:tr>
        <w:trPr>
          <w:cantSplit/>
        </w:trPr>
        <w:tc>
          <w:tcPr>
            <w:tcW w:type="dxa" w:w="11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RF-NO-05</w:t>
            </w:r>
          </w:p>
        </w:tc>
        <w:tc>
          <w:tcPr>
            <w:tcW w:type="dxa" w:w="76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O sistema deve deduplicar registros que apareçam em mais de uma fonte, preservando a proveniência de cada ocorrência.</w:t>
            </w:r>
          </w:p>
        </w:tc>
        <w:tc>
          <w:tcPr>
            <w:tcW w:type="dxa" w:w="9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</w:t>
            </w:r>
          </w:p>
        </w:tc>
      </w:tr>
      <w:tr>
        <w:trPr>
          <w:cantSplit/>
        </w:trPr>
        <w:tc>
          <w:tcPr>
            <w:tcW w:type="dxa" w:w="11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RF-NO-06</w:t>
            </w:r>
          </w:p>
        </w:tc>
        <w:tc>
          <w:tcPr>
            <w:tcW w:type="dxa" w:w="76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O sistema deve normalizar valores monetários, datas e unidades de medida para formatos únicos.</w:t>
            </w:r>
          </w:p>
        </w:tc>
        <w:tc>
          <w:tcPr>
            <w:tcW w:type="dxa" w:w="9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</w:t>
            </w:r>
          </w:p>
        </w:tc>
      </w:tr>
      <w:tr>
        <w:trPr>
          <w:cantSplit/>
        </w:trPr>
        <w:tc>
          <w:tcPr>
            <w:tcW w:type="dxa" w:w="11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RF-NO-07</w:t>
            </w:r>
          </w:p>
        </w:tc>
        <w:tc>
          <w:tcPr>
            <w:tcW w:type="dxa" w:w="76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O sistema deve classificar itens contratados segundo catálogo de referência, permitindo comparação entre entes.</w:t>
            </w:r>
          </w:p>
        </w:tc>
        <w:tc>
          <w:tcPr>
            <w:tcW w:type="dxa" w:w="9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</w:t>
            </w:r>
          </w:p>
        </w:tc>
      </w:tr>
      <w:tr>
        <w:trPr>
          <w:cantSplit/>
        </w:trPr>
        <w:tc>
          <w:tcPr>
            <w:tcW w:type="dxa" w:w="11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RF-NO-08</w:t>
            </w:r>
          </w:p>
        </w:tc>
        <w:tc>
          <w:tcPr>
            <w:tcW w:type="dxa" w:w="76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Registros que não passem nas regras de qualidade devem ser isolados em quarentena, com o motivo, sem bloquear o lote.</w:t>
            </w:r>
          </w:p>
        </w:tc>
        <w:tc>
          <w:tcPr>
            <w:tcW w:type="dxa" w:w="9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</w:t>
            </w:r>
          </w:p>
        </w:tc>
      </w:tr>
      <w:tr>
        <w:trPr>
          <w:cantSplit/>
        </w:trPr>
        <w:tc>
          <w:tcPr>
            <w:tcW w:type="dxa" w:w="11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RF-NO-09</w:t>
            </w:r>
          </w:p>
        </w:tc>
        <w:tc>
          <w:tcPr>
            <w:tcW w:type="dxa" w:w="76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O sistema deve aplicar classificação de sensibilidade a cada campo, conforme política do DOC-08.</w:t>
            </w:r>
          </w:p>
        </w:tc>
        <w:tc>
          <w:tcPr>
            <w:tcW w:type="dxa" w:w="9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</w:t>
            </w:r>
          </w:p>
        </w:tc>
      </w:tr>
      <w:tr>
        <w:trPr>
          <w:cantSplit/>
        </w:trPr>
        <w:tc>
          <w:tcPr>
            <w:tcW w:type="dxa" w:w="11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RF-NO-10</w:t>
            </w:r>
          </w:p>
        </w:tc>
        <w:tc>
          <w:tcPr>
            <w:tcW w:type="dxa" w:w="76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O sistema deve mascarar documentos de pessoa física antes de qualquer gravação em camada consultável.</w:t>
            </w:r>
          </w:p>
        </w:tc>
        <w:tc>
          <w:tcPr>
            <w:tcW w:type="dxa" w:w="9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</w:t>
            </w:r>
          </w:p>
        </w:tc>
      </w:tr>
      <w:tr>
        <w:trPr>
          <w:cantSplit/>
        </w:trPr>
        <w:tc>
          <w:tcPr>
            <w:tcW w:type="dxa" w:w="11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RF-NO-11</w:t>
            </w:r>
          </w:p>
        </w:tc>
        <w:tc>
          <w:tcPr>
            <w:tcW w:type="dxa" w:w="76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 normalização deve ser idempotente: reprocessar o mesmo artefato produz exatamente o mesmo resultado.</w:t>
            </w:r>
          </w:p>
        </w:tc>
        <w:tc>
          <w:tcPr>
            <w:tcW w:type="dxa" w:w="9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</w:t>
            </w:r>
          </w:p>
        </w:tc>
      </w:tr>
      <w:tr>
        <w:trPr>
          <w:cantSplit/>
        </w:trPr>
        <w:tc>
          <w:tcPr>
            <w:tcW w:type="dxa" w:w="11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RF-NO-12</w:t>
            </w:r>
          </w:p>
        </w:tc>
        <w:tc>
          <w:tcPr>
            <w:tcW w:type="dxa" w:w="76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O sistema deve permitir reprocessar todo o histórico a partir da camada bruta, sem recoletar das fontes.</w:t>
            </w:r>
          </w:p>
        </w:tc>
        <w:tc>
          <w:tcPr>
            <w:tcW w:type="dxa" w:w="9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</w:t>
            </w:r>
          </w:p>
        </w:tc>
      </w:tr>
    </w:tbl>
    <w:p>
      <w:pPr>
        <w:pStyle w:val="Heading2"/>
        <w:keepNext/>
        <w:keepLines/>
        <w:spacing w:after="120" w:before="280"/>
      </w:pPr>
      <w:bookmarkStart w:name="_Toc6" w:id="6"/>
      <w:r>
        <w:t xml:space="preserve">2.3 Módulo de Enriquecimento</w:t>
      </w:r>
      <w:bookmarkEnd w:id="6"/>
    </w:p>
    <w:tbl>
      <w:tblPr>
        <w:tblW w:type="dxa" w:w="96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</w:tblPr>
      <w:tblGrid>
        <w:gridCol w:w="1100"/>
        <w:gridCol w:w="7600"/>
        <w:gridCol w:w="900"/>
      </w:tblGrid>
      <w:tr>
        <w:trPr>
          <w:tblHeader/>
        </w:trPr>
        <w:tc>
          <w:tcPr>
            <w:tcW w:type="dxa" w:w="11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Cód.</w:t>
            </w:r>
          </w:p>
        </w:tc>
        <w:tc>
          <w:tcPr>
            <w:tcW w:type="dxa" w:w="76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Requisito</w:t>
            </w:r>
          </w:p>
        </w:tc>
        <w:tc>
          <w:tcPr>
            <w:tcW w:type="dxa" w:w="9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Prio.</w:t>
            </w:r>
          </w:p>
        </w:tc>
      </w:tr>
      <w:tr>
        <w:trPr>
          <w:cantSplit/>
        </w:trPr>
        <w:tc>
          <w:tcPr>
            <w:tcW w:type="dxa" w:w="11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RF-EN-01</w:t>
            </w:r>
          </w:p>
        </w:tc>
        <w:tc>
          <w:tcPr>
            <w:tcW w:type="dxa" w:w="76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O sistema deve vincular cada fornecedor ao seu quadro societário, CNAE principal, capital social e data de abertura.</w:t>
            </w:r>
          </w:p>
        </w:tc>
        <w:tc>
          <w:tcPr>
            <w:tcW w:type="dxa" w:w="9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</w:t>
            </w:r>
          </w:p>
        </w:tc>
      </w:tr>
      <w:tr>
        <w:trPr>
          <w:cantSplit/>
        </w:trPr>
        <w:tc>
          <w:tcPr>
            <w:tcW w:type="dxa" w:w="11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RF-EN-02</w:t>
            </w:r>
          </w:p>
        </w:tc>
        <w:tc>
          <w:tcPr>
            <w:tcW w:type="dxa" w:w="76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O sistema deve calcular, para cada ente, um grupo de pares com base em porte populacional, região e receita corrente líquida.</w:t>
            </w:r>
          </w:p>
        </w:tc>
        <w:tc>
          <w:tcPr>
            <w:tcW w:type="dxa" w:w="9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</w:t>
            </w:r>
          </w:p>
        </w:tc>
      </w:tr>
      <w:tr>
        <w:trPr>
          <w:cantSplit/>
        </w:trPr>
        <w:tc>
          <w:tcPr>
            <w:tcW w:type="dxa" w:w="11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RF-EN-03</w:t>
            </w:r>
          </w:p>
        </w:tc>
        <w:tc>
          <w:tcPr>
            <w:tcW w:type="dxa" w:w="76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O sistema deve manter séries históricas por ente, fornecedor e item para servir de linha de base.</w:t>
            </w:r>
          </w:p>
        </w:tc>
        <w:tc>
          <w:tcPr>
            <w:tcW w:type="dxa" w:w="9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</w:t>
            </w:r>
          </w:p>
        </w:tc>
      </w:tr>
      <w:tr>
        <w:trPr>
          <w:cantSplit/>
        </w:trPr>
        <w:tc>
          <w:tcPr>
            <w:tcW w:type="dxa" w:w="11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RF-EN-04</w:t>
            </w:r>
          </w:p>
        </w:tc>
        <w:tc>
          <w:tcPr>
            <w:tcW w:type="dxa" w:w="76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O sistema deve calcular medianas de preço unitário por item, região e período.</w:t>
            </w:r>
          </w:p>
        </w:tc>
        <w:tc>
          <w:tcPr>
            <w:tcW w:type="dxa" w:w="9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</w:t>
            </w:r>
          </w:p>
        </w:tc>
      </w:tr>
      <w:tr>
        <w:trPr>
          <w:cantSplit/>
        </w:trPr>
        <w:tc>
          <w:tcPr>
            <w:tcW w:type="dxa" w:w="11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RF-EN-05</w:t>
            </w:r>
          </w:p>
        </w:tc>
        <w:tc>
          <w:tcPr>
            <w:tcW w:type="dxa" w:w="76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O sistema deve identificar sócios em comum entre fornecedores distintos.</w:t>
            </w:r>
          </w:p>
        </w:tc>
        <w:tc>
          <w:tcPr>
            <w:tcW w:type="dxa" w:w="9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</w:t>
            </w:r>
          </w:p>
        </w:tc>
      </w:tr>
      <w:tr>
        <w:trPr>
          <w:cantSplit/>
        </w:trPr>
        <w:tc>
          <w:tcPr>
            <w:tcW w:type="dxa" w:w="11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RF-EN-06</w:t>
            </w:r>
          </w:p>
        </w:tc>
        <w:tc>
          <w:tcPr>
            <w:tcW w:type="dxa" w:w="76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O sistema deve vincular fornecedores a sanções vigentes nos cadastros CEIS, CNEP e CEPIM.</w:t>
            </w:r>
          </w:p>
        </w:tc>
        <w:tc>
          <w:tcPr>
            <w:tcW w:type="dxa" w:w="9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</w:t>
            </w:r>
          </w:p>
        </w:tc>
      </w:tr>
      <w:tr>
        <w:trPr>
          <w:cantSplit/>
        </w:trPr>
        <w:tc>
          <w:tcPr>
            <w:tcW w:type="dxa" w:w="11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RF-EN-07</w:t>
            </w:r>
          </w:p>
        </w:tc>
        <w:tc>
          <w:tcPr>
            <w:tcW w:type="dxa" w:w="76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O sistema deve registrar o agente público signatário de cada ato autorizativo, quando publicado pela fonte.</w:t>
            </w:r>
          </w:p>
        </w:tc>
        <w:tc>
          <w:tcPr>
            <w:tcW w:type="dxa" w:w="9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</w:t>
            </w:r>
          </w:p>
        </w:tc>
      </w:tr>
      <w:tr>
        <w:trPr>
          <w:cantSplit/>
        </w:trPr>
        <w:tc>
          <w:tcPr>
            <w:tcW w:type="dxa" w:w="11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RF-EN-08</w:t>
            </w:r>
          </w:p>
        </w:tc>
        <w:tc>
          <w:tcPr>
            <w:tcW w:type="dxa" w:w="76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O sistema deve registrar o amparo legal invocado em cada contratação, quando publicado pela fonte.</w:t>
            </w:r>
          </w:p>
        </w:tc>
        <w:tc>
          <w:tcPr>
            <w:tcW w:type="dxa" w:w="9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</w:t>
            </w:r>
          </w:p>
        </w:tc>
      </w:tr>
    </w:tbl>
    <w:p>
      <w:pPr>
        <w:pStyle w:val="Heading2"/>
        <w:keepNext/>
        <w:keepLines/>
        <w:spacing w:after="120" w:before="280"/>
      </w:pPr>
      <w:bookmarkStart w:name="_Toc7" w:id="7"/>
      <w:r>
        <w:t xml:space="preserve">2.4 Módulo de Detecção</w:t>
      </w:r>
      <w:bookmarkEnd w:id="7"/>
    </w:p>
    <w:tbl>
      <w:tblPr>
        <w:tblW w:type="dxa" w:w="96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</w:tblPr>
      <w:tblGrid>
        <w:gridCol w:w="1100"/>
        <w:gridCol w:w="7600"/>
        <w:gridCol w:w="900"/>
      </w:tblGrid>
      <w:tr>
        <w:trPr>
          <w:tblHeader/>
        </w:trPr>
        <w:tc>
          <w:tcPr>
            <w:tcW w:type="dxa" w:w="11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Cód.</w:t>
            </w:r>
          </w:p>
        </w:tc>
        <w:tc>
          <w:tcPr>
            <w:tcW w:type="dxa" w:w="76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Requisito</w:t>
            </w:r>
          </w:p>
        </w:tc>
        <w:tc>
          <w:tcPr>
            <w:tcW w:type="dxa" w:w="9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Prio.</w:t>
            </w:r>
          </w:p>
        </w:tc>
      </w:tr>
      <w:tr>
        <w:trPr>
          <w:cantSplit/>
        </w:trPr>
        <w:tc>
          <w:tcPr>
            <w:tcW w:type="dxa" w:w="11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RF-DE-01</w:t>
            </w:r>
          </w:p>
        </w:tc>
        <w:tc>
          <w:tcPr>
            <w:tcW w:type="dxa" w:w="76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O sistema deve executar o catálogo de regras definido no DOC-07 sobre a base normalizada.</w:t>
            </w:r>
          </w:p>
        </w:tc>
        <w:tc>
          <w:tcPr>
            <w:tcW w:type="dxa" w:w="9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</w:t>
            </w:r>
          </w:p>
        </w:tc>
      </w:tr>
      <w:tr>
        <w:trPr>
          <w:cantSplit/>
        </w:trPr>
        <w:tc>
          <w:tcPr>
            <w:tcW w:type="dxa" w:w="11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RF-DE-02</w:t>
            </w:r>
          </w:p>
        </w:tc>
        <w:tc>
          <w:tcPr>
            <w:tcW w:type="dxa" w:w="76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Cada regra deve ser versionada, e cada indício deve registrar a versão da regra que o produziu.</w:t>
            </w:r>
          </w:p>
        </w:tc>
        <w:tc>
          <w:tcPr>
            <w:tcW w:type="dxa" w:w="9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</w:t>
            </w:r>
          </w:p>
        </w:tc>
      </w:tr>
      <w:tr>
        <w:trPr>
          <w:cantSplit/>
        </w:trPr>
        <w:tc>
          <w:tcPr>
            <w:tcW w:type="dxa" w:w="11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RF-DE-03</w:t>
            </w:r>
          </w:p>
        </w:tc>
        <w:tc>
          <w:tcPr>
            <w:tcW w:type="dxa" w:w="76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Cada indício deve registrar os parâmetros usados e os valores de entrada que levaram ao disparo.</w:t>
            </w:r>
          </w:p>
        </w:tc>
        <w:tc>
          <w:tcPr>
            <w:tcW w:type="dxa" w:w="9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</w:t>
            </w:r>
          </w:p>
        </w:tc>
      </w:tr>
      <w:tr>
        <w:trPr>
          <w:cantSplit/>
        </w:trPr>
        <w:tc>
          <w:tcPr>
            <w:tcW w:type="dxa" w:w="11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RF-DE-04</w:t>
            </w:r>
          </w:p>
        </w:tc>
        <w:tc>
          <w:tcPr>
            <w:tcW w:type="dxa" w:w="76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Cada indício deve referenciar ao menos um documento fonte com hash verificável.</w:t>
            </w:r>
          </w:p>
        </w:tc>
        <w:tc>
          <w:tcPr>
            <w:tcW w:type="dxa" w:w="9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</w:t>
            </w:r>
          </w:p>
        </w:tc>
      </w:tr>
      <w:tr>
        <w:trPr>
          <w:cantSplit/>
        </w:trPr>
        <w:tc>
          <w:tcPr>
            <w:tcW w:type="dxa" w:w="11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RF-DE-05</w:t>
            </w:r>
          </w:p>
        </w:tc>
        <w:tc>
          <w:tcPr>
            <w:tcW w:type="dxa" w:w="76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O sistema deve detectar valores atípicos para cima, comparando preço unitário com a mediana do mesmo item.</w:t>
            </w:r>
          </w:p>
        </w:tc>
        <w:tc>
          <w:tcPr>
            <w:tcW w:type="dxa" w:w="9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</w:t>
            </w:r>
          </w:p>
        </w:tc>
      </w:tr>
      <w:tr>
        <w:trPr>
          <w:cantSplit/>
        </w:trPr>
        <w:tc>
          <w:tcPr>
            <w:tcW w:type="dxa" w:w="11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RF-DE-06</w:t>
            </w:r>
          </w:p>
        </w:tc>
        <w:tc>
          <w:tcPr>
            <w:tcW w:type="dxa" w:w="76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O sistema deve detectar fracionamento de despesa por agregação de contratações de mesmo objeto e fornecedor em janela temporal.</w:t>
            </w:r>
          </w:p>
        </w:tc>
        <w:tc>
          <w:tcPr>
            <w:tcW w:type="dxa" w:w="9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</w:t>
            </w:r>
          </w:p>
        </w:tc>
      </w:tr>
      <w:tr>
        <w:trPr>
          <w:cantSplit/>
        </w:trPr>
        <w:tc>
          <w:tcPr>
            <w:tcW w:type="dxa" w:w="11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RF-DE-07</w:t>
            </w:r>
          </w:p>
        </w:tc>
        <w:tc>
          <w:tcPr>
            <w:tcW w:type="dxa" w:w="76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O sistema deve detectar concentração anômala de valores imediatamente abaixo de limite legal de dispensa.</w:t>
            </w:r>
          </w:p>
        </w:tc>
        <w:tc>
          <w:tcPr>
            <w:tcW w:type="dxa" w:w="9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</w:t>
            </w:r>
          </w:p>
        </w:tc>
      </w:tr>
      <w:tr>
        <w:trPr>
          <w:cantSplit/>
        </w:trPr>
        <w:tc>
          <w:tcPr>
            <w:tcW w:type="dxa" w:w="11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RF-DE-08</w:t>
            </w:r>
          </w:p>
        </w:tc>
        <w:tc>
          <w:tcPr>
            <w:tcW w:type="dxa" w:w="76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O sistema deve detectar concentração de contratos em um único fornecedor por ente e categoria.</w:t>
            </w:r>
          </w:p>
        </w:tc>
        <w:tc>
          <w:tcPr>
            <w:tcW w:type="dxa" w:w="9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</w:t>
            </w:r>
          </w:p>
        </w:tc>
      </w:tr>
      <w:tr>
        <w:trPr>
          <w:cantSplit/>
        </w:trPr>
        <w:tc>
          <w:tcPr>
            <w:tcW w:type="dxa" w:w="11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RF-DE-09</w:t>
            </w:r>
          </w:p>
        </w:tc>
        <w:tc>
          <w:tcPr>
            <w:tcW w:type="dxa" w:w="76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O sistema deve detectar contratação de fornecedor com sanção vigente na data do ato.</w:t>
            </w:r>
          </w:p>
        </w:tc>
        <w:tc>
          <w:tcPr>
            <w:tcW w:type="dxa" w:w="9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</w:t>
            </w:r>
          </w:p>
        </w:tc>
      </w:tr>
      <w:tr>
        <w:trPr>
          <w:cantSplit/>
        </w:trPr>
        <w:tc>
          <w:tcPr>
            <w:tcW w:type="dxa" w:w="11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RF-DE-10</w:t>
            </w:r>
          </w:p>
        </w:tc>
        <w:tc>
          <w:tcPr>
            <w:tcW w:type="dxa" w:w="76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O sistema deve detectar fornecedor constituído em prazo muito curto antes da contratação.</w:t>
            </w:r>
          </w:p>
        </w:tc>
        <w:tc>
          <w:tcPr>
            <w:tcW w:type="dxa" w:w="9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</w:t>
            </w:r>
          </w:p>
        </w:tc>
      </w:tr>
      <w:tr>
        <w:trPr>
          <w:cantSplit/>
        </w:trPr>
        <w:tc>
          <w:tcPr>
            <w:tcW w:type="dxa" w:w="11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RF-DE-11</w:t>
            </w:r>
          </w:p>
        </w:tc>
        <w:tc>
          <w:tcPr>
            <w:tcW w:type="dxa" w:w="76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O sistema deve detectar incompatibilidade entre CNAE do fornecedor e objeto contratado.</w:t>
            </w:r>
          </w:p>
        </w:tc>
        <w:tc>
          <w:tcPr>
            <w:tcW w:type="dxa" w:w="9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</w:t>
            </w:r>
          </w:p>
        </w:tc>
      </w:tr>
      <w:tr>
        <w:trPr>
          <w:cantSplit/>
        </w:trPr>
        <w:tc>
          <w:tcPr>
            <w:tcW w:type="dxa" w:w="11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RF-DE-12</w:t>
            </w:r>
          </w:p>
        </w:tc>
        <w:tc>
          <w:tcPr>
            <w:tcW w:type="dxa" w:w="76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O sistema deve aplicar teste de aderência à Lei de Benford sobre conjuntos de valores por ente e período.</w:t>
            </w:r>
          </w:p>
        </w:tc>
        <w:tc>
          <w:tcPr>
            <w:tcW w:type="dxa" w:w="9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</w:t>
            </w:r>
          </w:p>
        </w:tc>
      </w:tr>
      <w:tr>
        <w:trPr>
          <w:cantSplit/>
        </w:trPr>
        <w:tc>
          <w:tcPr>
            <w:tcW w:type="dxa" w:w="11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RF-DE-13</w:t>
            </w:r>
          </w:p>
        </w:tc>
        <w:tc>
          <w:tcPr>
            <w:tcW w:type="dxa" w:w="76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O sistema deve detectar desvio relevante de gasto per capita em relação ao grupo de pares.</w:t>
            </w:r>
          </w:p>
        </w:tc>
        <w:tc>
          <w:tcPr>
            <w:tcW w:type="dxa" w:w="9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</w:t>
            </w:r>
          </w:p>
        </w:tc>
      </w:tr>
      <w:tr>
        <w:trPr>
          <w:cantSplit/>
        </w:trPr>
        <w:tc>
          <w:tcPr>
            <w:tcW w:type="dxa" w:w="11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RF-DE-14</w:t>
            </w:r>
          </w:p>
        </w:tc>
        <w:tc>
          <w:tcPr>
            <w:tcW w:type="dxa" w:w="76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O sistema deve detectar concentração atípica de empenhos no encerramento do exercício.</w:t>
            </w:r>
          </w:p>
        </w:tc>
        <w:tc>
          <w:tcPr>
            <w:tcW w:type="dxa" w:w="9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</w:t>
            </w:r>
          </w:p>
        </w:tc>
      </w:tr>
      <w:tr>
        <w:trPr>
          <w:cantSplit/>
        </w:trPr>
        <w:tc>
          <w:tcPr>
            <w:tcW w:type="dxa" w:w="11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RF-DE-15</w:t>
            </w:r>
          </w:p>
        </w:tc>
        <w:tc>
          <w:tcPr>
            <w:tcW w:type="dxa" w:w="76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O sistema deve detectar aditivos que elevem o valor do contrato acima dos percentuais previstos em lei.</w:t>
            </w:r>
          </w:p>
        </w:tc>
        <w:tc>
          <w:tcPr>
            <w:tcW w:type="dxa" w:w="9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</w:t>
            </w:r>
          </w:p>
        </w:tc>
      </w:tr>
      <w:tr>
        <w:trPr>
          <w:cantSplit/>
        </w:trPr>
        <w:tc>
          <w:tcPr>
            <w:tcW w:type="dxa" w:w="11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RF-DE-16</w:t>
            </w:r>
          </w:p>
        </w:tc>
        <w:tc>
          <w:tcPr>
            <w:tcW w:type="dxa" w:w="76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O sistema deve calcular um score composto e uma severidade para cada indício.</w:t>
            </w:r>
          </w:p>
        </w:tc>
        <w:tc>
          <w:tcPr>
            <w:tcW w:type="dxa" w:w="9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</w:t>
            </w:r>
          </w:p>
        </w:tc>
      </w:tr>
      <w:tr>
        <w:trPr>
          <w:cantSplit/>
        </w:trPr>
        <w:tc>
          <w:tcPr>
            <w:tcW w:type="dxa" w:w="11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RF-DE-17</w:t>
            </w:r>
          </w:p>
        </w:tc>
        <w:tc>
          <w:tcPr>
            <w:tcW w:type="dxa" w:w="76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Indícios com severidade acima do limiar configurado devem entrar obrigatoriamente em fila de revisão humana antes de qualquer publicação.</w:t>
            </w:r>
          </w:p>
        </w:tc>
        <w:tc>
          <w:tcPr>
            <w:tcW w:type="dxa" w:w="9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</w:t>
            </w:r>
          </w:p>
        </w:tc>
      </w:tr>
      <w:tr>
        <w:trPr>
          <w:cantSplit/>
        </w:trPr>
        <w:tc>
          <w:tcPr>
            <w:tcW w:type="dxa" w:w="11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RF-DE-18</w:t>
            </w:r>
          </w:p>
        </w:tc>
        <w:tc>
          <w:tcPr>
            <w:tcW w:type="dxa" w:w="76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O sistema deve permitir simular uma regra sobre dados históricos sem publicar resultado, para calibração.</w:t>
            </w:r>
          </w:p>
        </w:tc>
        <w:tc>
          <w:tcPr>
            <w:tcW w:type="dxa" w:w="9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</w:t>
            </w:r>
          </w:p>
        </w:tc>
      </w:tr>
      <w:tr>
        <w:trPr>
          <w:cantSplit/>
        </w:trPr>
        <w:tc>
          <w:tcPr>
            <w:tcW w:type="dxa" w:w="11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RF-DE-19</w:t>
            </w:r>
          </w:p>
        </w:tc>
        <w:tc>
          <w:tcPr>
            <w:tcW w:type="dxa" w:w="76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O sistema deve registrar indícios descartados com o motivo, para realimentar a calibração das regras.</w:t>
            </w:r>
          </w:p>
        </w:tc>
        <w:tc>
          <w:tcPr>
            <w:tcW w:type="dxa" w:w="9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</w:t>
            </w:r>
          </w:p>
        </w:tc>
      </w:tr>
      <w:tr>
        <w:trPr>
          <w:cantSplit/>
        </w:trPr>
        <w:tc>
          <w:tcPr>
            <w:tcW w:type="dxa" w:w="11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RF-DE-20</w:t>
            </w:r>
          </w:p>
        </w:tc>
        <w:tc>
          <w:tcPr>
            <w:tcW w:type="dxa" w:w="76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O sistema não deve produzir, em nenhum campo, texto que afirme ou sugira a ocorrência de ilícito.</w:t>
            </w:r>
          </w:p>
        </w:tc>
        <w:tc>
          <w:tcPr>
            <w:tcW w:type="dxa" w:w="9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</w:t>
            </w:r>
          </w:p>
        </w:tc>
      </w:tr>
    </w:tbl>
    <w:p>
      <w:pPr>
        <w:pStyle w:val="Heading2"/>
        <w:keepNext/>
        <w:keepLines/>
        <w:spacing w:after="120" w:before="280"/>
      </w:pPr>
      <w:bookmarkStart w:name="_Toc8" w:id="8"/>
      <w:r>
        <w:t xml:space="preserve">2.5 Módulo de Conformidade de Transparência</w:t>
      </w:r>
      <w:bookmarkEnd w:id="8"/>
    </w:p>
    <w:tbl>
      <w:tblPr>
        <w:tblW w:type="dxa" w:w="96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</w:tblPr>
      <w:tblGrid>
        <w:gridCol w:w="1100"/>
        <w:gridCol w:w="7600"/>
        <w:gridCol w:w="900"/>
      </w:tblGrid>
      <w:tr>
        <w:trPr>
          <w:tblHeader/>
        </w:trPr>
        <w:tc>
          <w:tcPr>
            <w:tcW w:type="dxa" w:w="11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Cód.</w:t>
            </w:r>
          </w:p>
        </w:tc>
        <w:tc>
          <w:tcPr>
            <w:tcW w:type="dxa" w:w="76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Requisito</w:t>
            </w:r>
          </w:p>
        </w:tc>
        <w:tc>
          <w:tcPr>
            <w:tcW w:type="dxa" w:w="9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Prio.</w:t>
            </w:r>
          </w:p>
        </w:tc>
      </w:tr>
      <w:tr>
        <w:trPr>
          <w:cantSplit/>
        </w:trPr>
        <w:tc>
          <w:tcPr>
            <w:tcW w:type="dxa" w:w="11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RF-CF-01</w:t>
            </w:r>
          </w:p>
        </w:tc>
        <w:tc>
          <w:tcPr>
            <w:tcW w:type="dxa" w:w="76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O sistema deve verificar, por ente, a existência de publicação nas fontes federais obrigatórias.</w:t>
            </w:r>
          </w:p>
        </w:tc>
        <w:tc>
          <w:tcPr>
            <w:tcW w:type="dxa" w:w="9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</w:t>
            </w:r>
          </w:p>
        </w:tc>
      </w:tr>
      <w:tr>
        <w:trPr>
          <w:cantSplit/>
        </w:trPr>
        <w:tc>
          <w:tcPr>
            <w:tcW w:type="dxa" w:w="11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RF-CF-02</w:t>
            </w:r>
          </w:p>
        </w:tc>
        <w:tc>
          <w:tcPr>
            <w:tcW w:type="dxa" w:w="76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O sistema deve verificar a atualidade da publicação em relação à periodicidade exigida pela legislação.</w:t>
            </w:r>
          </w:p>
        </w:tc>
        <w:tc>
          <w:tcPr>
            <w:tcW w:type="dxa" w:w="9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</w:t>
            </w:r>
          </w:p>
        </w:tc>
      </w:tr>
      <w:tr>
        <w:trPr>
          <w:cantSplit/>
        </w:trPr>
        <w:tc>
          <w:tcPr>
            <w:tcW w:type="dxa" w:w="11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RF-CF-03</w:t>
            </w:r>
          </w:p>
        </w:tc>
        <w:tc>
          <w:tcPr>
            <w:tcW w:type="dxa" w:w="76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O sistema deve classificar o formato de publicação quanto à legibilidade por máquina.</w:t>
            </w:r>
          </w:p>
        </w:tc>
        <w:tc>
          <w:tcPr>
            <w:tcW w:type="dxa" w:w="9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</w:t>
            </w:r>
          </w:p>
        </w:tc>
      </w:tr>
      <w:tr>
        <w:trPr>
          <w:cantSplit/>
        </w:trPr>
        <w:tc>
          <w:tcPr>
            <w:tcW w:type="dxa" w:w="11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RF-CF-04</w:t>
            </w:r>
          </w:p>
        </w:tc>
        <w:tc>
          <w:tcPr>
            <w:tcW w:type="dxa" w:w="76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O sistema deve verificar a presença dos campos mínimos exigidos pela Lei de Acesso à Informação.</w:t>
            </w:r>
          </w:p>
        </w:tc>
        <w:tc>
          <w:tcPr>
            <w:tcW w:type="dxa" w:w="9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</w:t>
            </w:r>
          </w:p>
        </w:tc>
      </w:tr>
      <w:tr>
        <w:trPr>
          <w:cantSplit/>
        </w:trPr>
        <w:tc>
          <w:tcPr>
            <w:tcW w:type="dxa" w:w="11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RF-CF-05</w:t>
            </w:r>
          </w:p>
        </w:tc>
        <w:tc>
          <w:tcPr>
            <w:tcW w:type="dxa" w:w="76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O sistema deve calcular um índice de conformidade por ente, com metodologia pública e auditável.</w:t>
            </w:r>
          </w:p>
        </w:tc>
        <w:tc>
          <w:tcPr>
            <w:tcW w:type="dxa" w:w="9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</w:t>
            </w:r>
          </w:p>
        </w:tc>
      </w:tr>
      <w:tr>
        <w:trPr>
          <w:cantSplit/>
        </w:trPr>
        <w:tc>
          <w:tcPr>
            <w:tcW w:type="dxa" w:w="11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RF-CF-06</w:t>
            </w:r>
          </w:p>
        </w:tc>
        <w:tc>
          <w:tcPr>
            <w:tcW w:type="dxa" w:w="76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 ausência de dado obrigatório deve gerar indício de descumprimento, com citação do dispositivo legal.</w:t>
            </w:r>
          </w:p>
        </w:tc>
        <w:tc>
          <w:tcPr>
            <w:tcW w:type="dxa" w:w="9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</w:t>
            </w:r>
          </w:p>
        </w:tc>
      </w:tr>
      <w:tr>
        <w:trPr>
          <w:cantSplit/>
        </w:trPr>
        <w:tc>
          <w:tcPr>
            <w:tcW w:type="dxa" w:w="11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RF-CF-07</w:t>
            </w:r>
          </w:p>
        </w:tc>
        <w:tc>
          <w:tcPr>
            <w:tcW w:type="dxa" w:w="76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O índice deve distinguir explicitamente indisponibilidade técnica temporária de ausência persistente de publicação.</w:t>
            </w:r>
          </w:p>
        </w:tc>
        <w:tc>
          <w:tcPr>
            <w:tcW w:type="dxa" w:w="9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</w:t>
            </w:r>
          </w:p>
        </w:tc>
      </w:tr>
      <w:tr>
        <w:trPr>
          <w:cantSplit/>
        </w:trPr>
        <w:tc>
          <w:tcPr>
            <w:tcW w:type="dxa" w:w="11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RF-CF-08</w:t>
            </w:r>
          </w:p>
        </w:tc>
        <w:tc>
          <w:tcPr>
            <w:tcW w:type="dxa" w:w="76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O sistema deve manter histórico do índice, permitindo observar evolução ou deterioração ao longo do tempo.</w:t>
            </w:r>
          </w:p>
        </w:tc>
        <w:tc>
          <w:tcPr>
            <w:tcW w:type="dxa" w:w="9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</w:t>
            </w:r>
          </w:p>
        </w:tc>
      </w:tr>
    </w:tbl>
    <w:p>
      <w:pPr>
        <w:pStyle w:val="Heading2"/>
        <w:keepNext/>
        <w:keepLines/>
        <w:spacing w:after="120" w:before="280"/>
      </w:pPr>
      <w:bookmarkStart w:name="_Toc9" w:id="9"/>
      <w:r>
        <w:t xml:space="preserve">2.6 Módulo de Publicação</w:t>
      </w:r>
      <w:bookmarkEnd w:id="9"/>
    </w:p>
    <w:tbl>
      <w:tblPr>
        <w:tblW w:type="dxa" w:w="96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</w:tblPr>
      <w:tblGrid>
        <w:gridCol w:w="1100"/>
        <w:gridCol w:w="7600"/>
        <w:gridCol w:w="900"/>
      </w:tblGrid>
      <w:tr>
        <w:trPr>
          <w:tblHeader/>
        </w:trPr>
        <w:tc>
          <w:tcPr>
            <w:tcW w:type="dxa" w:w="11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Cód.</w:t>
            </w:r>
          </w:p>
        </w:tc>
        <w:tc>
          <w:tcPr>
            <w:tcW w:type="dxa" w:w="76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Requisito</w:t>
            </w:r>
          </w:p>
        </w:tc>
        <w:tc>
          <w:tcPr>
            <w:tcW w:type="dxa" w:w="9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Prio.</w:t>
            </w:r>
          </w:p>
        </w:tc>
      </w:tr>
      <w:tr>
        <w:trPr>
          <w:cantSplit/>
        </w:trPr>
        <w:tc>
          <w:tcPr>
            <w:tcW w:type="dxa" w:w="11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RF-PU-01</w:t>
            </w:r>
          </w:p>
        </w:tc>
        <w:tc>
          <w:tcPr>
            <w:tcW w:type="dxa" w:w="76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O sistema deve oferecer painel por ente com panorama de contratações, despesas e conformidade.</w:t>
            </w:r>
          </w:p>
        </w:tc>
        <w:tc>
          <w:tcPr>
            <w:tcW w:type="dxa" w:w="9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</w:t>
            </w:r>
          </w:p>
        </w:tc>
      </w:tr>
      <w:tr>
        <w:trPr>
          <w:cantSplit/>
        </w:trPr>
        <w:tc>
          <w:tcPr>
            <w:tcW w:type="dxa" w:w="11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RF-PU-02</w:t>
            </w:r>
          </w:p>
        </w:tc>
        <w:tc>
          <w:tcPr>
            <w:tcW w:type="dxa" w:w="76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O sistema deve oferecer busca por ente, fornecedor, objeto, valor, período e modalidade.</w:t>
            </w:r>
          </w:p>
        </w:tc>
        <w:tc>
          <w:tcPr>
            <w:tcW w:type="dxa" w:w="9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</w:t>
            </w:r>
          </w:p>
        </w:tc>
      </w:tr>
      <w:tr>
        <w:trPr>
          <w:cantSplit/>
        </w:trPr>
        <w:tc>
          <w:tcPr>
            <w:tcW w:type="dxa" w:w="11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RF-PU-03</w:t>
            </w:r>
          </w:p>
        </w:tc>
        <w:tc>
          <w:tcPr>
            <w:tcW w:type="dxa" w:w="76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Toda página de indício deve exibir a regra aplicada, os parâmetros e o link para o documento fonte.</w:t>
            </w:r>
          </w:p>
        </w:tc>
        <w:tc>
          <w:tcPr>
            <w:tcW w:type="dxa" w:w="9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</w:t>
            </w:r>
          </w:p>
        </w:tc>
      </w:tr>
      <w:tr>
        <w:trPr>
          <w:cantSplit/>
        </w:trPr>
        <w:tc>
          <w:tcPr>
            <w:tcW w:type="dxa" w:w="11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RF-PU-04</w:t>
            </w:r>
          </w:p>
        </w:tc>
        <w:tc>
          <w:tcPr>
            <w:tcW w:type="dxa" w:w="76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Todo indício deve ser exibido com rótulo padronizado de atividade para análise.</w:t>
            </w:r>
          </w:p>
        </w:tc>
        <w:tc>
          <w:tcPr>
            <w:tcW w:type="dxa" w:w="9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</w:t>
            </w:r>
          </w:p>
        </w:tc>
      </w:tr>
      <w:tr>
        <w:trPr>
          <w:cantSplit/>
        </w:trPr>
        <w:tc>
          <w:tcPr>
            <w:tcW w:type="dxa" w:w="11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RF-PU-05</w:t>
            </w:r>
          </w:p>
        </w:tc>
        <w:tc>
          <w:tcPr>
            <w:tcW w:type="dxa" w:w="76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O sistema deve exibir comparação entre o ente e seu grupo de pares.</w:t>
            </w:r>
          </w:p>
        </w:tc>
        <w:tc>
          <w:tcPr>
            <w:tcW w:type="dxa" w:w="9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</w:t>
            </w:r>
          </w:p>
        </w:tc>
      </w:tr>
      <w:tr>
        <w:trPr>
          <w:cantSplit/>
        </w:trPr>
        <w:tc>
          <w:tcPr>
            <w:tcW w:type="dxa" w:w="11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RF-PU-06</w:t>
            </w:r>
          </w:p>
        </w:tc>
        <w:tc>
          <w:tcPr>
            <w:tcW w:type="dxa" w:w="76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O sistema deve permitir exportação em CSV e Parquet dos dados normalizados consultados.</w:t>
            </w:r>
          </w:p>
        </w:tc>
        <w:tc>
          <w:tcPr>
            <w:tcW w:type="dxa" w:w="9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</w:t>
            </w:r>
          </w:p>
        </w:tc>
      </w:tr>
      <w:tr>
        <w:trPr>
          <w:cantSplit/>
        </w:trPr>
        <w:tc>
          <w:tcPr>
            <w:tcW w:type="dxa" w:w="11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RF-PU-07</w:t>
            </w:r>
          </w:p>
        </w:tc>
        <w:tc>
          <w:tcPr>
            <w:tcW w:type="dxa" w:w="76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O sistema deve gerar dossiê em PDF com o indício, sua evidência e os documentos fonte.</w:t>
            </w:r>
          </w:p>
        </w:tc>
        <w:tc>
          <w:tcPr>
            <w:tcW w:type="dxa" w:w="9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</w:t>
            </w:r>
          </w:p>
        </w:tc>
      </w:tr>
      <w:tr>
        <w:trPr>
          <w:cantSplit/>
        </w:trPr>
        <w:tc>
          <w:tcPr>
            <w:tcW w:type="dxa" w:w="11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RF-PU-08</w:t>
            </w:r>
          </w:p>
        </w:tc>
        <w:tc>
          <w:tcPr>
            <w:tcW w:type="dxa" w:w="76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O sistema deve oferecer API pública documentada, com versionamento e limite de taxa.</w:t>
            </w:r>
          </w:p>
        </w:tc>
        <w:tc>
          <w:tcPr>
            <w:tcW w:type="dxa" w:w="9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</w:t>
            </w:r>
          </w:p>
        </w:tc>
      </w:tr>
      <w:tr>
        <w:trPr>
          <w:cantSplit/>
        </w:trPr>
        <w:tc>
          <w:tcPr>
            <w:tcW w:type="dxa" w:w="11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RF-PU-09</w:t>
            </w:r>
          </w:p>
        </w:tc>
        <w:tc>
          <w:tcPr>
            <w:tcW w:type="dxa" w:w="76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O sistema deve permitir que o usuário acompanhe um ente e receba alerta de novos indícios.</w:t>
            </w:r>
          </w:p>
        </w:tc>
        <w:tc>
          <w:tcPr>
            <w:tcW w:type="dxa" w:w="9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</w:t>
            </w:r>
          </w:p>
        </w:tc>
      </w:tr>
      <w:tr>
        <w:trPr>
          <w:cantSplit/>
        </w:trPr>
        <w:tc>
          <w:tcPr>
            <w:tcW w:type="dxa" w:w="11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RF-PU-10</w:t>
            </w:r>
          </w:p>
        </w:tc>
        <w:tc>
          <w:tcPr>
            <w:tcW w:type="dxa" w:w="76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Toda página pública deve exibir aviso metodológico e link para a metodologia completa.</w:t>
            </w:r>
          </w:p>
        </w:tc>
        <w:tc>
          <w:tcPr>
            <w:tcW w:type="dxa" w:w="9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</w:t>
            </w:r>
          </w:p>
        </w:tc>
      </w:tr>
      <w:tr>
        <w:trPr>
          <w:cantSplit/>
        </w:trPr>
        <w:tc>
          <w:tcPr>
            <w:tcW w:type="dxa" w:w="11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RF-PU-11</w:t>
            </w:r>
          </w:p>
        </w:tc>
        <w:tc>
          <w:tcPr>
            <w:tcW w:type="dxa" w:w="76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O sistema deve publicar erratas e remoções com o mesmo destaque da publicação original.</w:t>
            </w:r>
          </w:p>
        </w:tc>
        <w:tc>
          <w:tcPr>
            <w:tcW w:type="dxa" w:w="9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</w:t>
            </w:r>
          </w:p>
        </w:tc>
      </w:tr>
      <w:tr>
        <w:trPr>
          <w:cantSplit/>
        </w:trPr>
        <w:tc>
          <w:tcPr>
            <w:tcW w:type="dxa" w:w="11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RF-PU-12</w:t>
            </w:r>
          </w:p>
        </w:tc>
        <w:tc>
          <w:tcPr>
            <w:tcW w:type="dxa" w:w="76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O sistema deve exibir a data da última coleta bem-sucedida em cada visão de dados.</w:t>
            </w:r>
          </w:p>
        </w:tc>
        <w:tc>
          <w:tcPr>
            <w:tcW w:type="dxa" w:w="9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</w:t>
            </w:r>
          </w:p>
        </w:tc>
      </w:tr>
    </w:tbl>
    <w:p>
      <w:pPr>
        <w:pStyle w:val="Heading2"/>
        <w:keepNext/>
        <w:keepLines/>
        <w:spacing w:after="120" w:before="280"/>
      </w:pPr>
      <w:bookmarkStart w:name="_Toc10" w:id="10"/>
      <w:r>
        <w:t xml:space="preserve">2.7 Módulo de Direito de Resposta</w:t>
      </w:r>
      <w:bookmarkEnd w:id="10"/>
    </w:p>
    <w:tbl>
      <w:tblPr>
        <w:tblW w:type="dxa" w:w="96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</w:tblPr>
      <w:tblGrid>
        <w:gridCol w:w="1100"/>
        <w:gridCol w:w="7600"/>
        <w:gridCol w:w="900"/>
      </w:tblGrid>
      <w:tr>
        <w:trPr>
          <w:tblHeader/>
        </w:trPr>
        <w:tc>
          <w:tcPr>
            <w:tcW w:type="dxa" w:w="11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Cód.</w:t>
            </w:r>
          </w:p>
        </w:tc>
        <w:tc>
          <w:tcPr>
            <w:tcW w:type="dxa" w:w="76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Requisito</w:t>
            </w:r>
          </w:p>
        </w:tc>
        <w:tc>
          <w:tcPr>
            <w:tcW w:type="dxa" w:w="9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Prio.</w:t>
            </w:r>
          </w:p>
        </w:tc>
      </w:tr>
      <w:tr>
        <w:trPr>
          <w:cantSplit/>
        </w:trPr>
        <w:tc>
          <w:tcPr>
            <w:tcW w:type="dxa" w:w="11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RF-DR-01</w:t>
            </w:r>
          </w:p>
        </w:tc>
        <w:tc>
          <w:tcPr>
            <w:tcW w:type="dxa" w:w="76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O sistema deve oferecer canal público para que ente ou fornecedor registre contestação a um indício.</w:t>
            </w:r>
          </w:p>
        </w:tc>
        <w:tc>
          <w:tcPr>
            <w:tcW w:type="dxa" w:w="9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</w:t>
            </w:r>
          </w:p>
        </w:tc>
      </w:tr>
      <w:tr>
        <w:trPr>
          <w:cantSplit/>
        </w:trPr>
        <w:tc>
          <w:tcPr>
            <w:tcW w:type="dxa" w:w="11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RF-DR-02</w:t>
            </w:r>
          </w:p>
        </w:tc>
        <w:tc>
          <w:tcPr>
            <w:tcW w:type="dxa" w:w="76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 contestação deve permitir anexar documentos comprobatórios.</w:t>
            </w:r>
          </w:p>
        </w:tc>
        <w:tc>
          <w:tcPr>
            <w:tcW w:type="dxa" w:w="9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</w:t>
            </w:r>
          </w:p>
        </w:tc>
      </w:tr>
      <w:tr>
        <w:trPr>
          <w:cantSplit/>
        </w:trPr>
        <w:tc>
          <w:tcPr>
            <w:tcW w:type="dxa" w:w="11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RF-DR-03</w:t>
            </w:r>
          </w:p>
        </w:tc>
        <w:tc>
          <w:tcPr>
            <w:tcW w:type="dxa" w:w="76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O indício contestado deve ser marcado publicamente como contestado em até 24 horas do registro.</w:t>
            </w:r>
          </w:p>
        </w:tc>
        <w:tc>
          <w:tcPr>
            <w:tcW w:type="dxa" w:w="9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</w:t>
            </w:r>
          </w:p>
        </w:tc>
      </w:tr>
      <w:tr>
        <w:trPr>
          <w:cantSplit/>
        </w:trPr>
        <w:tc>
          <w:tcPr>
            <w:tcW w:type="dxa" w:w="11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RF-DR-04</w:t>
            </w:r>
          </w:p>
        </w:tc>
        <w:tc>
          <w:tcPr>
            <w:tcW w:type="dxa" w:w="76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 contestação deve ser exibida junto ao indício original, de forma permanente.</w:t>
            </w:r>
          </w:p>
        </w:tc>
        <w:tc>
          <w:tcPr>
            <w:tcW w:type="dxa" w:w="9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</w:t>
            </w:r>
          </w:p>
        </w:tc>
      </w:tr>
      <w:tr>
        <w:trPr>
          <w:cantSplit/>
        </w:trPr>
        <w:tc>
          <w:tcPr>
            <w:tcW w:type="dxa" w:w="11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RF-DR-05</w:t>
            </w:r>
          </w:p>
        </w:tc>
        <w:tc>
          <w:tcPr>
            <w:tcW w:type="dxa" w:w="76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O sistema deve permitir reexecutar a regra considerando os documentos apresentados na contestação.</w:t>
            </w:r>
          </w:p>
        </w:tc>
        <w:tc>
          <w:tcPr>
            <w:tcW w:type="dxa" w:w="9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</w:t>
            </w:r>
          </w:p>
        </w:tc>
      </w:tr>
      <w:tr>
        <w:trPr>
          <w:cantSplit/>
        </w:trPr>
        <w:tc>
          <w:tcPr>
            <w:tcW w:type="dxa" w:w="11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RF-DR-06</w:t>
            </w:r>
          </w:p>
        </w:tc>
        <w:tc>
          <w:tcPr>
            <w:tcW w:type="dxa" w:w="76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Comprovado erro do sistema, o indício deve ser retificado ou removido e a correção publicada.</w:t>
            </w:r>
          </w:p>
        </w:tc>
        <w:tc>
          <w:tcPr>
            <w:tcW w:type="dxa" w:w="9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</w:t>
            </w:r>
          </w:p>
        </w:tc>
      </w:tr>
      <w:tr>
        <w:trPr>
          <w:cantSplit/>
        </w:trPr>
        <w:tc>
          <w:tcPr>
            <w:tcW w:type="dxa" w:w="11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RF-DR-07</w:t>
            </w:r>
          </w:p>
        </w:tc>
        <w:tc>
          <w:tcPr>
            <w:tcW w:type="dxa" w:w="76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O sistema deve registrar prazo e desfecho de cada contestação, com métricas públicas de atendimento.</w:t>
            </w:r>
          </w:p>
        </w:tc>
        <w:tc>
          <w:tcPr>
            <w:tcW w:type="dxa" w:w="9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</w:t>
            </w:r>
          </w:p>
        </w:tc>
      </w:tr>
    </w:tbl>
    <w:p>
      <w:pPr>
        <w:pStyle w:val="Heading2"/>
        <w:keepNext/>
        <w:keepLines/>
        <w:spacing w:after="120" w:before="280"/>
      </w:pPr>
      <w:bookmarkStart w:name="_Toc11" w:id="11"/>
      <w:r>
        <w:t xml:space="preserve">2.8 Módulo de Administração</w:t>
      </w:r>
      <w:bookmarkEnd w:id="11"/>
    </w:p>
    <w:tbl>
      <w:tblPr>
        <w:tblW w:type="dxa" w:w="96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</w:tblPr>
      <w:tblGrid>
        <w:gridCol w:w="1100"/>
        <w:gridCol w:w="7600"/>
        <w:gridCol w:w="900"/>
      </w:tblGrid>
      <w:tr>
        <w:trPr>
          <w:tblHeader/>
        </w:trPr>
        <w:tc>
          <w:tcPr>
            <w:tcW w:type="dxa" w:w="11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Cód.</w:t>
            </w:r>
          </w:p>
        </w:tc>
        <w:tc>
          <w:tcPr>
            <w:tcW w:type="dxa" w:w="76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Requisito</w:t>
            </w:r>
          </w:p>
        </w:tc>
        <w:tc>
          <w:tcPr>
            <w:tcW w:type="dxa" w:w="9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Prio.</w:t>
            </w:r>
          </w:p>
        </w:tc>
      </w:tr>
      <w:tr>
        <w:trPr>
          <w:cantSplit/>
        </w:trPr>
        <w:tc>
          <w:tcPr>
            <w:tcW w:type="dxa" w:w="11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RF-AD-01</w:t>
            </w:r>
          </w:p>
        </w:tc>
        <w:tc>
          <w:tcPr>
            <w:tcW w:type="dxa" w:w="76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O sistema deve permitir cadastrar e editar fontes de dados por especificação declarativa.</w:t>
            </w:r>
          </w:p>
        </w:tc>
        <w:tc>
          <w:tcPr>
            <w:tcW w:type="dxa" w:w="9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</w:t>
            </w:r>
          </w:p>
        </w:tc>
      </w:tr>
      <w:tr>
        <w:trPr>
          <w:cantSplit/>
        </w:trPr>
        <w:tc>
          <w:tcPr>
            <w:tcW w:type="dxa" w:w="11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RF-AD-02</w:t>
            </w:r>
          </w:p>
        </w:tc>
        <w:tc>
          <w:tcPr>
            <w:tcW w:type="dxa" w:w="76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O sistema deve permitir ajustar parâmetros de uma regra e versioná-la automaticamente.</w:t>
            </w:r>
          </w:p>
        </w:tc>
        <w:tc>
          <w:tcPr>
            <w:tcW w:type="dxa" w:w="9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</w:t>
            </w:r>
          </w:p>
        </w:tc>
      </w:tr>
      <w:tr>
        <w:trPr>
          <w:cantSplit/>
        </w:trPr>
        <w:tc>
          <w:tcPr>
            <w:tcW w:type="dxa" w:w="11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RF-AD-03</w:t>
            </w:r>
          </w:p>
        </w:tc>
        <w:tc>
          <w:tcPr>
            <w:tcW w:type="dxa" w:w="76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O sistema deve oferecer fila de revisão priorizada por severidade e antiguidade.</w:t>
            </w:r>
          </w:p>
        </w:tc>
        <w:tc>
          <w:tcPr>
            <w:tcW w:type="dxa" w:w="9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</w:t>
            </w:r>
          </w:p>
        </w:tc>
      </w:tr>
      <w:tr>
        <w:trPr>
          <w:cantSplit/>
        </w:trPr>
        <w:tc>
          <w:tcPr>
            <w:tcW w:type="dxa" w:w="11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RF-AD-04</w:t>
            </w:r>
          </w:p>
        </w:tc>
        <w:tc>
          <w:tcPr>
            <w:tcW w:type="dxa" w:w="76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Toda ação de revisor deve ser registrada em trilha de auditoria imutável, com autor, data e justificativa.</w:t>
            </w:r>
          </w:p>
        </w:tc>
        <w:tc>
          <w:tcPr>
            <w:tcW w:type="dxa" w:w="9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</w:t>
            </w:r>
          </w:p>
        </w:tc>
      </w:tr>
      <w:tr>
        <w:trPr>
          <w:cantSplit/>
        </w:trPr>
        <w:tc>
          <w:tcPr>
            <w:tcW w:type="dxa" w:w="11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RF-AD-05</w:t>
            </w:r>
          </w:p>
        </w:tc>
        <w:tc>
          <w:tcPr>
            <w:tcW w:type="dxa" w:w="76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O sistema deve exibir painel operacional com saúde das coletas, atrasos e taxa de falha por fonte.</w:t>
            </w:r>
          </w:p>
        </w:tc>
        <w:tc>
          <w:tcPr>
            <w:tcW w:type="dxa" w:w="9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</w:t>
            </w:r>
          </w:p>
        </w:tc>
      </w:tr>
      <w:tr>
        <w:trPr>
          <w:cantSplit/>
        </w:trPr>
        <w:tc>
          <w:tcPr>
            <w:tcW w:type="dxa" w:w="11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RF-AD-06</w:t>
            </w:r>
          </w:p>
        </w:tc>
        <w:tc>
          <w:tcPr>
            <w:tcW w:type="dxa" w:w="76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O sistema deve permitir reprocessar um período ou uma fonte específica sob demanda.</w:t>
            </w:r>
          </w:p>
        </w:tc>
        <w:tc>
          <w:tcPr>
            <w:tcW w:type="dxa" w:w="9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</w:t>
            </w:r>
          </w:p>
        </w:tc>
      </w:tr>
      <w:tr>
        <w:trPr>
          <w:cantSplit/>
        </w:trPr>
        <w:tc>
          <w:tcPr>
            <w:tcW w:type="dxa" w:w="11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RF-AD-07</w:t>
            </w:r>
          </w:p>
        </w:tc>
        <w:tc>
          <w:tcPr>
            <w:tcW w:type="dxa" w:w="76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O acesso administrativo deve exigir autenticação com segundo fator.</w:t>
            </w:r>
          </w:p>
        </w:tc>
        <w:tc>
          <w:tcPr>
            <w:tcW w:type="dxa" w:w="9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</w:t>
            </w:r>
          </w:p>
        </w:tc>
      </w:tr>
      <w:tr>
        <w:trPr>
          <w:cantSplit/>
        </w:trPr>
        <w:tc>
          <w:tcPr>
            <w:tcW w:type="dxa" w:w="11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RF-AD-08</w:t>
            </w:r>
          </w:p>
        </w:tc>
        <w:tc>
          <w:tcPr>
            <w:tcW w:type="dxa" w:w="76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O sistema deve suportar perfis distintos de revisor e administrador, com permissões separadas.</w:t>
            </w:r>
          </w:p>
        </w:tc>
        <w:tc>
          <w:tcPr>
            <w:tcW w:type="dxa" w:w="9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</w:t>
            </w:r>
          </w:p>
        </w:tc>
      </w:tr>
    </w:tbl>
    <w:p>
      <w:r>
        <w:br w:type="page"/>
      </w:r>
    </w:p>
    <w:p>
      <w:pPr>
        <w:pStyle w:val="Heading1"/>
        <w:keepNext/>
        <w:keepLines/>
        <w:spacing w:after="160" w:before="380"/>
      </w:pPr>
      <w:bookmarkStart w:name="_Toc12" w:id="12"/>
      <w:r>
        <w:t xml:space="preserve">3. Requisitos não-funcionais</w:t>
      </w:r>
      <w:bookmarkEnd w:id="12"/>
    </w:p>
    <w:p>
      <w:pPr>
        <w:pStyle w:val="Heading2"/>
        <w:keepNext/>
        <w:keepLines/>
        <w:spacing w:after="120" w:before="280"/>
      </w:pPr>
      <w:bookmarkStart w:name="_Toc13" w:id="13"/>
      <w:r>
        <w:t xml:space="preserve">3.1 Desempenho e escala</w:t>
      </w:r>
      <w:bookmarkEnd w:id="13"/>
    </w:p>
    <w:tbl>
      <w:tblPr>
        <w:tblW w:type="dxa" w:w="96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</w:tblPr>
      <w:tblGrid>
        <w:gridCol w:w="1100"/>
        <w:gridCol w:w="6100"/>
        <w:gridCol w:w="2400"/>
      </w:tblGrid>
      <w:tr>
        <w:trPr>
          <w:tblHeader/>
        </w:trPr>
        <w:tc>
          <w:tcPr>
            <w:tcW w:type="dxa" w:w="11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Cód.</w:t>
            </w:r>
          </w:p>
        </w:tc>
        <w:tc>
          <w:tcPr>
            <w:tcW w:type="dxa" w:w="61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Requisito</w:t>
            </w:r>
          </w:p>
        </w:tc>
        <w:tc>
          <w:tcPr>
            <w:tcW w:type="dxa" w:w="24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Meta</w:t>
            </w:r>
          </w:p>
        </w:tc>
      </w:tr>
      <w:tr>
        <w:trPr>
          <w:cantSplit/>
        </w:trPr>
        <w:tc>
          <w:tcPr>
            <w:tcW w:type="dxa" w:w="11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RNF-01</w:t>
            </w:r>
          </w:p>
        </w:tc>
        <w:tc>
          <w:tcPr>
            <w:tcW w:type="dxa" w:w="61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Tempo de resposta da busca pública no percentil 95</w:t>
            </w:r>
          </w:p>
        </w:tc>
        <w:tc>
          <w:tcPr>
            <w:tcW w:type="dxa" w:w="24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Até 2 segundos</w:t>
            </w:r>
          </w:p>
        </w:tc>
      </w:tr>
      <w:tr>
        <w:trPr>
          <w:cantSplit/>
        </w:trPr>
        <w:tc>
          <w:tcPr>
            <w:tcW w:type="dxa" w:w="11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RNF-02</w:t>
            </w:r>
          </w:p>
        </w:tc>
        <w:tc>
          <w:tcPr>
            <w:tcW w:type="dxa" w:w="61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Tempo de resposta da API pública no percentil 95</w:t>
            </w:r>
          </w:p>
        </w:tc>
        <w:tc>
          <w:tcPr>
            <w:tcW w:type="dxa" w:w="24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Até 800 ms</w:t>
            </w:r>
          </w:p>
        </w:tc>
      </w:tr>
      <w:tr>
        <w:trPr>
          <w:cantSplit/>
        </w:trPr>
        <w:tc>
          <w:tcPr>
            <w:tcW w:type="dxa" w:w="11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RNF-03</w:t>
            </w:r>
          </w:p>
        </w:tc>
        <w:tc>
          <w:tcPr>
            <w:tcW w:type="dxa" w:w="61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Volume suportado na camada analítica sem redesenho</w:t>
            </w:r>
          </w:p>
        </w:tc>
        <w:tc>
          <w:tcPr>
            <w:tcW w:type="dxa" w:w="24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10 bilhões de linhas</w:t>
            </w:r>
          </w:p>
        </w:tc>
      </w:tr>
      <w:tr>
        <w:trPr>
          <w:cantSplit/>
        </w:trPr>
        <w:tc>
          <w:tcPr>
            <w:tcW w:type="dxa" w:w="11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RNF-04</w:t>
            </w:r>
          </w:p>
        </w:tc>
        <w:tc>
          <w:tcPr>
            <w:tcW w:type="dxa" w:w="61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Janela de execução do ciclo completo de detecção</w:t>
            </w:r>
          </w:p>
        </w:tc>
        <w:tc>
          <w:tcPr>
            <w:tcW w:type="dxa" w:w="24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Até 12 horas</w:t>
            </w:r>
          </w:p>
        </w:tc>
      </w:tr>
      <w:tr>
        <w:trPr>
          <w:cantSplit/>
        </w:trPr>
        <w:tc>
          <w:tcPr>
            <w:tcW w:type="dxa" w:w="11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RNF-05</w:t>
            </w:r>
          </w:p>
        </w:tc>
        <w:tc>
          <w:tcPr>
            <w:tcW w:type="dxa" w:w="61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Defasagem entre publicação na fonte e disponibilidade no Lumen</w:t>
            </w:r>
          </w:p>
        </w:tc>
        <w:tc>
          <w:tcPr>
            <w:tcW w:type="dxa" w:w="24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Até 72 horas para fontes com API</w:t>
            </w:r>
          </w:p>
        </w:tc>
      </w:tr>
      <w:tr>
        <w:trPr>
          <w:cantSplit/>
        </w:trPr>
        <w:tc>
          <w:tcPr>
            <w:tcW w:type="dxa" w:w="11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RNF-06</w:t>
            </w:r>
          </w:p>
        </w:tc>
        <w:tc>
          <w:tcPr>
            <w:tcW w:type="dxa" w:w="61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Capacidade de reprocessamento integral do histórico</w:t>
            </w:r>
          </w:p>
        </w:tc>
        <w:tc>
          <w:tcPr>
            <w:tcW w:type="dxa" w:w="24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Até 7 dias corridos</w:t>
            </w:r>
          </w:p>
        </w:tc>
      </w:tr>
    </w:tbl>
    <w:p>
      <w:pPr>
        <w:pStyle w:val="Heading2"/>
        <w:keepNext/>
        <w:keepLines/>
        <w:spacing w:after="120" w:before="280"/>
      </w:pPr>
      <w:bookmarkStart w:name="_Toc14" w:id="14"/>
      <w:r>
        <w:t xml:space="preserve">3.2 Confiabilidade e operação</w:t>
      </w:r>
      <w:bookmarkEnd w:id="14"/>
    </w:p>
    <w:tbl>
      <w:tblPr>
        <w:tblW w:type="dxa" w:w="96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</w:tblPr>
      <w:tblGrid>
        <w:gridCol w:w="1100"/>
        <w:gridCol w:w="6100"/>
        <w:gridCol w:w="2400"/>
      </w:tblGrid>
      <w:tr>
        <w:trPr>
          <w:tblHeader/>
        </w:trPr>
        <w:tc>
          <w:tcPr>
            <w:tcW w:type="dxa" w:w="11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Cód.</w:t>
            </w:r>
          </w:p>
        </w:tc>
        <w:tc>
          <w:tcPr>
            <w:tcW w:type="dxa" w:w="61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Requisito</w:t>
            </w:r>
          </w:p>
        </w:tc>
        <w:tc>
          <w:tcPr>
            <w:tcW w:type="dxa" w:w="24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Meta</w:t>
            </w:r>
          </w:p>
        </w:tc>
      </w:tr>
      <w:tr>
        <w:trPr>
          <w:cantSplit/>
        </w:trPr>
        <w:tc>
          <w:tcPr>
            <w:tcW w:type="dxa" w:w="11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RNF-07</w:t>
            </w:r>
          </w:p>
        </w:tc>
        <w:tc>
          <w:tcPr>
            <w:tcW w:type="dxa" w:w="61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Disponibilidade do portal público e da API</w:t>
            </w:r>
          </w:p>
        </w:tc>
        <w:tc>
          <w:tcPr>
            <w:tcW w:type="dxa" w:w="24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99,0% mensal</w:t>
            </w:r>
          </w:p>
        </w:tc>
      </w:tr>
      <w:tr>
        <w:trPr>
          <w:cantSplit/>
        </w:trPr>
        <w:tc>
          <w:tcPr>
            <w:tcW w:type="dxa" w:w="11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RNF-08</w:t>
            </w:r>
          </w:p>
        </w:tc>
        <w:tc>
          <w:tcPr>
            <w:tcW w:type="dxa" w:w="61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Perda de artefato bruto já coletado</w:t>
            </w:r>
          </w:p>
        </w:tc>
        <w:tc>
          <w:tcPr>
            <w:tcW w:type="dxa" w:w="24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Zero, com replicação</w:t>
            </w:r>
          </w:p>
        </w:tc>
      </w:tr>
      <w:tr>
        <w:trPr>
          <w:cantSplit/>
        </w:trPr>
        <w:tc>
          <w:tcPr>
            <w:tcW w:type="dxa" w:w="11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RNF-09</w:t>
            </w:r>
          </w:p>
        </w:tc>
        <w:tc>
          <w:tcPr>
            <w:tcW w:type="dxa" w:w="61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Falha em uma fonte não pode interromper as demais</w:t>
            </w:r>
          </w:p>
        </w:tc>
        <w:tc>
          <w:tcPr>
            <w:tcW w:type="dxa" w:w="24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Isolamento por fonte</w:t>
            </w:r>
          </w:p>
        </w:tc>
      </w:tr>
      <w:tr>
        <w:trPr>
          <w:cantSplit/>
        </w:trPr>
        <w:tc>
          <w:tcPr>
            <w:tcW w:type="dxa" w:w="11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RNF-10</w:t>
            </w:r>
          </w:p>
        </w:tc>
        <w:tc>
          <w:tcPr>
            <w:tcW w:type="dxa" w:w="61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Recuperação da camada analítica a partir da camada bruta</w:t>
            </w:r>
          </w:p>
        </w:tc>
        <w:tc>
          <w:tcPr>
            <w:tcW w:type="dxa" w:w="24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Sempre possível</w:t>
            </w:r>
          </w:p>
        </w:tc>
      </w:tr>
      <w:tr>
        <w:trPr>
          <w:cantSplit/>
        </w:trPr>
        <w:tc>
          <w:tcPr>
            <w:tcW w:type="dxa" w:w="11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RNF-11</w:t>
            </w:r>
          </w:p>
        </w:tc>
        <w:tc>
          <w:tcPr>
            <w:tcW w:type="dxa" w:w="61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Tempo para detectar falha sistemática de coleta</w:t>
            </w:r>
          </w:p>
        </w:tc>
        <w:tc>
          <w:tcPr>
            <w:tcW w:type="dxa" w:w="24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Até 6 horas</w:t>
            </w:r>
          </w:p>
        </w:tc>
      </w:tr>
    </w:tbl>
    <w:p>
      <w:pPr>
        <w:pStyle w:val="Heading2"/>
        <w:keepNext/>
        <w:keepLines/>
        <w:spacing w:after="120" w:before="280"/>
      </w:pPr>
      <w:bookmarkStart w:name="_Toc15" w:id="15"/>
      <w:r>
        <w:t xml:space="preserve">3.3 Segurança</w:t>
      </w:r>
      <w:bookmarkEnd w:id="15"/>
    </w:p>
    <w:tbl>
      <w:tblPr>
        <w:tblW w:type="dxa" w:w="96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</w:tblPr>
      <w:tblGrid>
        <w:gridCol w:w="1100"/>
        <w:gridCol w:w="8500"/>
      </w:tblGrid>
      <w:tr>
        <w:trPr>
          <w:tblHeader/>
        </w:trPr>
        <w:tc>
          <w:tcPr>
            <w:tcW w:type="dxa" w:w="11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Cód.</w:t>
            </w:r>
          </w:p>
        </w:tc>
        <w:tc>
          <w:tcPr>
            <w:tcW w:type="dxa" w:w="85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Requisito</w:t>
            </w:r>
          </w:p>
        </w:tc>
      </w:tr>
      <w:tr>
        <w:trPr>
          <w:cantSplit/>
        </w:trPr>
        <w:tc>
          <w:tcPr>
            <w:tcW w:type="dxa" w:w="11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RNF-12</w:t>
            </w:r>
          </w:p>
        </w:tc>
        <w:tc>
          <w:tcPr>
            <w:tcW w:type="dxa" w:w="85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Todo acesso administrativo deve usar autenticação com segundo fator e sessão com expiração.</w:t>
            </w:r>
          </w:p>
        </w:tc>
      </w:tr>
      <w:tr>
        <w:trPr>
          <w:cantSplit/>
        </w:trPr>
        <w:tc>
          <w:tcPr>
            <w:tcW w:type="dxa" w:w="11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RNF-13</w:t>
            </w:r>
          </w:p>
        </w:tc>
        <w:tc>
          <w:tcPr>
            <w:tcW w:type="dxa" w:w="85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Credenciais de API de terceiros devem ser armazenadas em cofre de segredos, nunca no repositório.</w:t>
            </w:r>
          </w:p>
        </w:tc>
      </w:tr>
      <w:tr>
        <w:trPr>
          <w:cantSplit/>
        </w:trPr>
        <w:tc>
          <w:tcPr>
            <w:tcW w:type="dxa" w:w="11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RNF-14</w:t>
            </w:r>
          </w:p>
        </w:tc>
        <w:tc>
          <w:tcPr>
            <w:tcW w:type="dxa" w:w="85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Todo tráfego externo deve usar TLS 1.2 ou superior.</w:t>
            </w:r>
          </w:p>
        </w:tc>
      </w:tr>
      <w:tr>
        <w:trPr>
          <w:cantSplit/>
        </w:trPr>
        <w:tc>
          <w:tcPr>
            <w:tcW w:type="dxa" w:w="11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RNF-15</w:t>
            </w:r>
          </w:p>
        </w:tc>
        <w:tc>
          <w:tcPr>
            <w:tcW w:type="dxa" w:w="85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 trilha de auditoria deve ser somente-anexação, sem permissão de alteração ou exclusão pela aplicação.</w:t>
            </w:r>
          </w:p>
        </w:tc>
      </w:tr>
      <w:tr>
        <w:trPr>
          <w:cantSplit/>
        </w:trPr>
        <w:tc>
          <w:tcPr>
            <w:tcW w:type="dxa" w:w="11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RNF-16</w:t>
            </w:r>
          </w:p>
        </w:tc>
        <w:tc>
          <w:tcPr>
            <w:tcW w:type="dxa" w:w="85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Backups devem ser cifrados em repouso e testados por restauração periódica.</w:t>
            </w:r>
          </w:p>
        </w:tc>
      </w:tr>
      <w:tr>
        <w:trPr>
          <w:cantSplit/>
        </w:trPr>
        <w:tc>
          <w:tcPr>
            <w:tcW w:type="dxa" w:w="11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RNF-17</w:t>
            </w:r>
          </w:p>
        </w:tc>
        <w:tc>
          <w:tcPr>
            <w:tcW w:type="dxa" w:w="85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O sistema deve registrar e limitar tentativas de acesso administrativo malsucedidas.</w:t>
            </w:r>
          </w:p>
        </w:tc>
      </w:tr>
    </w:tbl>
    <w:p>
      <w:pPr>
        <w:pStyle w:val="Heading2"/>
        <w:keepNext/>
        <w:keepLines/>
        <w:spacing w:after="120" w:before="280"/>
      </w:pPr>
      <w:bookmarkStart w:name="_Toc16" w:id="16"/>
      <w:r>
        <w:t xml:space="preserve">3.4 Privacidade e conformidade legal</w:t>
      </w:r>
      <w:bookmarkEnd w:id="16"/>
    </w:p>
    <w:tbl>
      <w:tblPr>
        <w:tblW w:type="dxa" w:w="96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</w:tblPr>
      <w:tblGrid>
        <w:gridCol w:w="1100"/>
        <w:gridCol w:w="8500"/>
      </w:tblGrid>
      <w:tr>
        <w:trPr>
          <w:tblHeader/>
        </w:trPr>
        <w:tc>
          <w:tcPr>
            <w:tcW w:type="dxa" w:w="11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Cód.</w:t>
            </w:r>
          </w:p>
        </w:tc>
        <w:tc>
          <w:tcPr>
            <w:tcW w:type="dxa" w:w="85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Requisito</w:t>
            </w:r>
          </w:p>
        </w:tc>
      </w:tr>
      <w:tr>
        <w:trPr>
          <w:cantSplit/>
        </w:trPr>
        <w:tc>
          <w:tcPr>
            <w:tcW w:type="dxa" w:w="11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RNF-18</w:t>
            </w:r>
          </w:p>
        </w:tc>
        <w:tc>
          <w:tcPr>
            <w:tcW w:type="dxa" w:w="85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Todo campo do esquema canônico deve ter classificação de sensibilidade atribuída.</w:t>
            </w:r>
          </w:p>
        </w:tc>
      </w:tr>
      <w:tr>
        <w:trPr>
          <w:cantSplit/>
        </w:trPr>
        <w:tc>
          <w:tcPr>
            <w:tcW w:type="dxa" w:w="11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RNF-19</w:t>
            </w:r>
          </w:p>
        </w:tc>
        <w:tc>
          <w:tcPr>
            <w:tcW w:type="dxa" w:w="85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Dados pessoais de cidadãos não agentes públicos não podem ser expostos em nível individual.</w:t>
            </w:r>
          </w:p>
        </w:tc>
      </w:tr>
      <w:tr>
        <w:trPr>
          <w:cantSplit/>
        </w:trPr>
        <w:tc>
          <w:tcPr>
            <w:tcW w:type="dxa" w:w="11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RNF-20</w:t>
            </w:r>
          </w:p>
        </w:tc>
        <w:tc>
          <w:tcPr>
            <w:tcW w:type="dxa" w:w="85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Documentos de pessoa física devem ser mascarados em qualquer exibição ou exportação.</w:t>
            </w:r>
          </w:p>
        </w:tc>
      </w:tr>
      <w:tr>
        <w:trPr>
          <w:cantSplit/>
        </w:trPr>
        <w:tc>
          <w:tcPr>
            <w:tcW w:type="dxa" w:w="11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RNF-21</w:t>
            </w:r>
          </w:p>
        </w:tc>
        <w:tc>
          <w:tcPr>
            <w:tcW w:type="dxa" w:w="85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Deve existir procedimento documentado de atendimento a solicitação de titular de dados.</w:t>
            </w:r>
          </w:p>
        </w:tc>
      </w:tr>
      <w:tr>
        <w:trPr>
          <w:cantSplit/>
        </w:trPr>
        <w:tc>
          <w:tcPr>
            <w:tcW w:type="dxa" w:w="11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RNF-22</w:t>
            </w:r>
          </w:p>
        </w:tc>
        <w:tc>
          <w:tcPr>
            <w:tcW w:type="dxa" w:w="85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 base legal do tratamento deve estar documentada e vinculada a cada categoria de dado.</w:t>
            </w:r>
          </w:p>
        </w:tc>
      </w:tr>
    </w:tbl>
    <w:p>
      <w:pPr>
        <w:pStyle w:val="Heading2"/>
        <w:keepNext/>
        <w:keepLines/>
        <w:spacing w:after="120" w:before="280"/>
      </w:pPr>
      <w:bookmarkStart w:name="_Toc17" w:id="17"/>
      <w:r>
        <w:t xml:space="preserve">3.5 Auditabilidade e reprodutibilidade</w:t>
      </w:r>
      <w:bookmarkEnd w:id="17"/>
    </w:p>
    <w:tbl>
      <w:tblPr>
        <w:tblW w:type="dxa" w:w="96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</w:tblPr>
      <w:tblGrid>
        <w:gridCol w:w="1100"/>
        <w:gridCol w:w="8500"/>
      </w:tblGrid>
      <w:tr>
        <w:trPr>
          <w:tblHeader/>
        </w:trPr>
        <w:tc>
          <w:tcPr>
            <w:tcW w:type="dxa" w:w="11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Cód.</w:t>
            </w:r>
          </w:p>
        </w:tc>
        <w:tc>
          <w:tcPr>
            <w:tcW w:type="dxa" w:w="85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Requisito</w:t>
            </w:r>
          </w:p>
        </w:tc>
      </w:tr>
      <w:tr>
        <w:trPr>
          <w:cantSplit/>
        </w:trPr>
        <w:tc>
          <w:tcPr>
            <w:tcW w:type="dxa" w:w="11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RNF-23</w:t>
            </w:r>
          </w:p>
        </w:tc>
        <w:tc>
          <w:tcPr>
            <w:tcW w:type="dxa" w:w="85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Qualquer indício publicado deve ser reproduzível por terceiro a partir dos dados públicos e da especificação da regra.</w:t>
            </w:r>
          </w:p>
        </w:tc>
      </w:tr>
      <w:tr>
        <w:trPr>
          <w:cantSplit/>
        </w:trPr>
        <w:tc>
          <w:tcPr>
            <w:tcW w:type="dxa" w:w="11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RNF-24</w:t>
            </w:r>
          </w:p>
        </w:tc>
        <w:tc>
          <w:tcPr>
            <w:tcW w:type="dxa" w:w="85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 metodologia de cada regra deve ser publicada em linguagem acessível junto ao portal.</w:t>
            </w:r>
          </w:p>
        </w:tc>
      </w:tr>
      <w:tr>
        <w:trPr>
          <w:cantSplit/>
        </w:trPr>
        <w:tc>
          <w:tcPr>
            <w:tcW w:type="dxa" w:w="11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RNF-25</w:t>
            </w:r>
          </w:p>
        </w:tc>
        <w:tc>
          <w:tcPr>
            <w:tcW w:type="dxa" w:w="85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Toda transformação de dado deve registrar linhagem, permitindo rastrear do indício ao artefato bruto.</w:t>
            </w:r>
          </w:p>
        </w:tc>
      </w:tr>
      <w:tr>
        <w:trPr>
          <w:cantSplit/>
        </w:trPr>
        <w:tc>
          <w:tcPr>
            <w:tcW w:type="dxa" w:w="11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RNF-26</w:t>
            </w:r>
          </w:p>
        </w:tc>
        <w:tc>
          <w:tcPr>
            <w:tcW w:type="dxa" w:w="85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Versões de regra e de esquema devem ser explicitamente registradas em cada execução.</w:t>
            </w:r>
          </w:p>
        </w:tc>
      </w:tr>
    </w:tbl>
    <w:p>
      <w:pPr>
        <w:pStyle w:val="Heading2"/>
        <w:keepNext/>
        <w:keepLines/>
        <w:spacing w:after="120" w:before="280"/>
      </w:pPr>
      <w:bookmarkStart w:name="_Toc18" w:id="18"/>
      <w:r>
        <w:t xml:space="preserve">3.6 Manutenibilidade e custo</w:t>
      </w:r>
      <w:bookmarkEnd w:id="18"/>
    </w:p>
    <w:tbl>
      <w:tblPr>
        <w:tblW w:type="dxa" w:w="96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</w:tblPr>
      <w:tblGrid>
        <w:gridCol w:w="1100"/>
        <w:gridCol w:w="8500"/>
      </w:tblGrid>
      <w:tr>
        <w:trPr>
          <w:tblHeader/>
        </w:trPr>
        <w:tc>
          <w:tcPr>
            <w:tcW w:type="dxa" w:w="11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Cód.</w:t>
            </w:r>
          </w:p>
        </w:tc>
        <w:tc>
          <w:tcPr>
            <w:tcW w:type="dxa" w:w="85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Requisito</w:t>
            </w:r>
          </w:p>
        </w:tc>
      </w:tr>
      <w:tr>
        <w:trPr>
          <w:cantSplit/>
        </w:trPr>
        <w:tc>
          <w:tcPr>
            <w:tcW w:type="dxa" w:w="11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RNF-27</w:t>
            </w:r>
          </w:p>
        </w:tc>
        <w:tc>
          <w:tcPr>
            <w:tcW w:type="dxa" w:w="85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Adicionar uma fonte que siga padrão já suportado não deve exigir alteração no núcleo do sistema.</w:t>
            </w:r>
          </w:p>
        </w:tc>
      </w:tr>
      <w:tr>
        <w:trPr>
          <w:cantSplit/>
        </w:trPr>
        <w:tc>
          <w:tcPr>
            <w:tcW w:type="dxa" w:w="11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RNF-28</w:t>
            </w:r>
          </w:p>
        </w:tc>
        <w:tc>
          <w:tcPr>
            <w:tcW w:type="dxa" w:w="85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Cobertura de testes automatizados no núcleo de domínio e no motor de regras: mínimo de 80%.</w:t>
            </w:r>
          </w:p>
        </w:tc>
      </w:tr>
      <w:tr>
        <w:trPr>
          <w:cantSplit/>
        </w:trPr>
        <w:tc>
          <w:tcPr>
            <w:tcW w:type="dxa" w:w="11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RNF-29</w:t>
            </w:r>
          </w:p>
        </w:tc>
        <w:tc>
          <w:tcPr>
            <w:tcW w:type="dxa" w:w="85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O custo mensal de infraestrutura na fase 1 deve permanecer compatível com operação de equipe reduzida.</w:t>
            </w:r>
          </w:p>
        </w:tc>
      </w:tr>
      <w:tr>
        <w:trPr>
          <w:cantSplit/>
        </w:trPr>
        <w:tc>
          <w:tcPr>
            <w:tcW w:type="dxa" w:w="11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RNF-30</w:t>
            </w:r>
          </w:p>
        </w:tc>
        <w:tc>
          <w:tcPr>
            <w:tcW w:type="dxa" w:w="85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O sistema deve poder ser executado integralmente em ambiente local para desenvolvimento e teste.</w:t>
            </w:r>
          </w:p>
        </w:tc>
      </w:tr>
      <w:tr>
        <w:trPr>
          <w:cantSplit/>
        </w:trPr>
        <w:tc>
          <w:tcPr>
            <w:tcW w:type="dxa" w:w="11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RNF-31</w:t>
            </w:r>
          </w:p>
        </w:tc>
        <w:tc>
          <w:tcPr>
            <w:tcW w:type="dxa" w:w="85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Nenhum componente proprietário sem alternativa aberta equivalente pode ser dependência crítica.</w:t>
            </w:r>
          </w:p>
        </w:tc>
      </w:tr>
    </w:tbl>
    <w:p>
      <w:r>
        <w:br w:type="page"/>
      </w:r>
    </w:p>
    <w:p>
      <w:pPr>
        <w:pStyle w:val="Heading1"/>
        <w:keepNext/>
        <w:keepLines/>
        <w:spacing w:after="160" w:before="380"/>
      </w:pPr>
      <w:bookmarkStart w:name="_Toc19" w:id="19"/>
      <w:r>
        <w:t xml:space="preserve">4. Matriz de rastreabilidade</w:t>
      </w:r>
      <w:bookmarkEnd w:id="19"/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A matriz vincula objetivos do produto (DOC-01) a requisitos e casos de uso (DOC-03). Ela é mantida atualizada a cada mudança de escopo e serve de base para o planejamento de testes.</w:t>
      </w:r>
    </w:p>
    <w:tbl>
      <w:tblPr>
        <w:tblW w:type="dxa" w:w="96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</w:tblPr>
      <w:tblGrid>
        <w:gridCol w:w="1300"/>
        <w:gridCol w:w="5300"/>
        <w:gridCol w:w="3000"/>
      </w:tblGrid>
      <w:tr>
        <w:trPr>
          <w:tblHeader/>
        </w:trPr>
        <w:tc>
          <w:tcPr>
            <w:tcW w:type="dxa" w:w="13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Objetivo</w:t>
            </w:r>
          </w:p>
        </w:tc>
        <w:tc>
          <w:tcPr>
            <w:tcW w:type="dxa" w:w="53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Requisitos principais</w:t>
            </w:r>
          </w:p>
        </w:tc>
        <w:tc>
          <w:tcPr>
            <w:tcW w:type="dxa" w:w="30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Casos de uso</w:t>
            </w:r>
          </w:p>
        </w:tc>
      </w:tr>
      <w:tr>
        <w:trPr>
          <w:cantSplit/>
        </w:trPr>
        <w:tc>
          <w:tcPr>
            <w:tcW w:type="dxa" w:w="13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OBJ-01</w:t>
            </w:r>
          </w:p>
        </w:tc>
        <w:tc>
          <w:tcPr>
            <w:tcW w:type="dxa" w:w="53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RF-CO-01, RF-CO-05 a RF-CO-09, RF-NO-01</w:t>
            </w:r>
          </w:p>
        </w:tc>
        <w:tc>
          <w:tcPr>
            <w:tcW w:type="dxa" w:w="30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UC-12</w:t>
            </w:r>
          </w:p>
        </w:tc>
      </w:tr>
      <w:tr>
        <w:trPr>
          <w:cantSplit/>
        </w:trPr>
        <w:tc>
          <w:tcPr>
            <w:tcW w:type="dxa" w:w="13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OBJ-02</w:t>
            </w:r>
          </w:p>
        </w:tc>
        <w:tc>
          <w:tcPr>
            <w:tcW w:type="dxa" w:w="53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RF-CO-02, RF-NO-01, RF-NO-04</w:t>
            </w:r>
          </w:p>
        </w:tc>
        <w:tc>
          <w:tcPr>
            <w:tcW w:type="dxa" w:w="30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UC-12</w:t>
            </w:r>
          </w:p>
        </w:tc>
      </w:tr>
      <w:tr>
        <w:trPr>
          <w:cantSplit/>
        </w:trPr>
        <w:tc>
          <w:tcPr>
            <w:tcW w:type="dxa" w:w="13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OBJ-03</w:t>
            </w:r>
          </w:p>
        </w:tc>
        <w:tc>
          <w:tcPr>
            <w:tcW w:type="dxa" w:w="53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RF-NO-01 a RF-NO-12</w:t>
            </w:r>
          </w:p>
        </w:tc>
        <w:tc>
          <w:tcPr>
            <w:tcW w:type="dxa" w:w="30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UC-12</w:t>
            </w:r>
          </w:p>
        </w:tc>
      </w:tr>
      <w:tr>
        <w:trPr>
          <w:cantSplit/>
        </w:trPr>
        <w:tc>
          <w:tcPr>
            <w:tcW w:type="dxa" w:w="13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OBJ-04</w:t>
            </w:r>
          </w:p>
        </w:tc>
        <w:tc>
          <w:tcPr>
            <w:tcW w:type="dxa" w:w="53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RF-DE-05 a RF-DE-15, RF-DE-16</w:t>
            </w:r>
          </w:p>
        </w:tc>
        <w:tc>
          <w:tcPr>
            <w:tcW w:type="dxa" w:w="30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UC-03, UC-13</w:t>
            </w:r>
          </w:p>
        </w:tc>
      </w:tr>
      <w:tr>
        <w:trPr>
          <w:cantSplit/>
        </w:trPr>
        <w:tc>
          <w:tcPr>
            <w:tcW w:type="dxa" w:w="13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OBJ-05</w:t>
            </w:r>
          </w:p>
        </w:tc>
        <w:tc>
          <w:tcPr>
            <w:tcW w:type="dxa" w:w="53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RF-EN-07, RF-EN-08, RF-CO-01</w:t>
            </w:r>
          </w:p>
        </w:tc>
        <w:tc>
          <w:tcPr>
            <w:tcW w:type="dxa" w:w="30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UC-01, UC-03</w:t>
            </w:r>
          </w:p>
        </w:tc>
      </w:tr>
      <w:tr>
        <w:trPr>
          <w:cantSplit/>
        </w:trPr>
        <w:tc>
          <w:tcPr>
            <w:tcW w:type="dxa" w:w="13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OBJ-06</w:t>
            </w:r>
          </w:p>
        </w:tc>
        <w:tc>
          <w:tcPr>
            <w:tcW w:type="dxa" w:w="53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RF-CF-01 a RF-CF-08</w:t>
            </w:r>
          </w:p>
        </w:tc>
        <w:tc>
          <w:tcPr>
            <w:tcW w:type="dxa" w:w="30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UC-07</w:t>
            </w:r>
          </w:p>
        </w:tc>
      </w:tr>
      <w:tr>
        <w:trPr>
          <w:cantSplit/>
        </w:trPr>
        <w:tc>
          <w:tcPr>
            <w:tcW w:type="dxa" w:w="13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OBJ-07</w:t>
            </w:r>
          </w:p>
        </w:tc>
        <w:tc>
          <w:tcPr>
            <w:tcW w:type="dxa" w:w="53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RF-CO-05, RF-CO-06, RF-DE-04, RNF-23, RNF-25</w:t>
            </w:r>
          </w:p>
        </w:tc>
        <w:tc>
          <w:tcPr>
            <w:tcW w:type="dxa" w:w="30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UC-03, UC-05</w:t>
            </w:r>
          </w:p>
        </w:tc>
      </w:tr>
      <w:tr>
        <w:trPr>
          <w:cantSplit/>
        </w:trPr>
        <w:tc>
          <w:tcPr>
            <w:tcW w:type="dxa" w:w="13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OBJ-08</w:t>
            </w:r>
          </w:p>
        </w:tc>
        <w:tc>
          <w:tcPr>
            <w:tcW w:type="dxa" w:w="53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RF-DR-01 a RF-DR-07</w:t>
            </w:r>
          </w:p>
        </w:tc>
        <w:tc>
          <w:tcPr>
            <w:tcW w:type="dxa" w:w="30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UC-11</w:t>
            </w:r>
          </w:p>
        </w:tc>
      </w:tr>
    </w:tbl>
    <w:p>
      <w:pPr>
        <w:pStyle w:val="Heading1"/>
        <w:keepNext/>
        <w:keepLines/>
        <w:spacing w:after="160" w:before="380"/>
      </w:pPr>
      <w:bookmarkStart w:name="_Toc20" w:id="20"/>
      <w:r>
        <w:t xml:space="preserve">5. Critérios de aceitação da versão 1.0</w:t>
      </w:r>
      <w:bookmarkEnd w:id="20"/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A versão 1.0 só é considerada pronta quando todos os critérios abaixo forem verificados e documentados. Nenhum critério é dispensável por pressão de prazo.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Todos os requisitos de prioridade M estão implementados e cobertos por teste automatizado.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Uma amostra aleatória de 100 indícios publicados foi revisada manualmente e a taxa de falso positivo confirmado ficou abaixo do limite definido no DOC-07.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Todo indício da amostra possui documento fonte recuperável e com hash conferido.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O verificador de vocabulário controlado executa na integração contínua e nenhuma violação está presente na base.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O fluxo de direito de resposta foi testado ponta a ponta, incluindo publicação de errata.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A metodologia de todas as regras ativas está publicada e acessível ao público.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O plano de resposta a incidente de privacidade está documentado e um teste de mesa foi realizado.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Existe procedimento de restauração testado para a camada bruta e para o banco de domínio.</w:t>
      </w:r>
    </w:p>
    <w:sectPr>
      <w:headerReference w:type="default" r:id="rId6"/>
      <w:footerReference w:type="default" r:id="rId7"/>
      <w:pgSz w:w="11906" w:h="16838" w:orient="portrait"/>
      <w:pgMar w:top="1140" w:right="1134" w:bottom="1140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000000"/>
        <w:sz w:val="16"/>
        <w:szCs w:val="16"/>
      </w:rPr>
      <w:t xml:space="preserve">Pagina </w:t>
    </w:r>
    <w:r>
      <w:rPr>
        <w:color w:val="00000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000000"/>
        <w:sz w:val="16"/>
        <w:szCs w:val="16"/>
      </w:rPr>
      <w:t xml:space="preserve"> de </w:t>
    </w:r>
    <w:r>
      <w:rPr>
        <w:color w:val="00000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9D9D9" w:sz="4" w:space="6"/>
      </w:pBdr>
    </w:pPr>
    <w:r>
      <w:rPr>
        <w:color w:val="000000"/>
        <w:sz w:val="16"/>
        <w:szCs w:val="16"/>
      </w:rPr>
      <w:t xml:space="preserve">Projeto Lumen  |  DOC-02 Requisitos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20" w:hanging="250"/>
      </w:pPr>
    </w:lvl>
    <w:lvl w:ilvl="1" w:tentative="1">
      <w:start w:val="1"/>
      <w:numFmt w:val="bullet"/>
      <w:lvlText w:val="◦"/>
      <w:lvlJc w:val="left"/>
      <w:pPr>
        <w:ind w:left="840" w:hanging="250"/>
      </w:pPr>
    </w:lvl>
    <w:lvl w:ilvl="2" w:tentative="1">
      <w:start w:val="1"/>
      <w:numFmt w:val="bullet"/>
      <w:lvlText w:val="▪"/>
      <w:lvlJc w:val="left"/>
      <w:pPr>
        <w:ind w:left="1260" w:hanging="25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40" w:hanging="280"/>
      </w:pPr>
    </w:lvl>
    <w:lvl w:ilvl="1" w:tentative="1">
      <w:start w:val="1"/>
      <w:numFmt w:val="lowerLetter"/>
      <w:lvlText w:val="%2)"/>
      <w:lvlJc w:val="left"/>
      <w:pPr>
        <w:ind w:left="880" w:hanging="28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>
      <w:pPr>
        <w:spacing w:line="276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60" w:before="380"/>
    </w:pPr>
    <w:rPr>
      <w:rFonts w:ascii="Calibri Light" w:cs="Calibri Light" w:eastAsia="Calibri Light" w:hAnsi="Calibri Light"/>
      <w:b/>
      <w:bCs/>
      <w:color w:val="000000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80"/>
    </w:pPr>
    <w:rPr>
      <w:rFonts w:ascii="Calibri Light" w:cs="Calibri Light" w:eastAsia="Calibri Light" w:hAnsi="Calibri Light"/>
      <w:b/>
      <w:bCs/>
      <w:color w:val="000000"/>
      <w:sz w:val="27"/>
      <w:szCs w:val="27"/>
    </w:rPr>
  </w:style>
  <w:style w:type="paragraph" w:styleId="Heading3">
    <w:name w:val="Heading 3"/>
    <w:basedOn w:val="Normal"/>
    <w:next w:val="Normal"/>
    <w:qFormat/>
    <w:pPr>
      <w:spacing w:after="100" w:before="220"/>
    </w:pPr>
    <w:rPr>
      <w:rFonts w:ascii="Calibri" w:cs="Calibri" w:eastAsia="Calibri" w:hAnsi="Calibri"/>
      <w:b/>
      <w:bCs/>
      <w:color w:val="000000"/>
      <w:sz w:val="23"/>
      <w:szCs w:val="23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DOC-02 - Requisitos</dc:title>
  <dc:creator>Projeto Lumen</dc:creator>
  <dc:description>Requisitos funcionais e não-funcionais, numerados e rastreáveis</dc:description>
  <cp:lastModifiedBy>Un-named</cp:lastModifiedBy>
  <cp:revision>1</cp:revision>
  <dcterms:created xsi:type="dcterms:W3CDTF">2026-10-21T09:24:17.083Z</dcterms:created>
  <dcterms:modified xsi:type="dcterms:W3CDTF">2026-10-21T09:24:17.085Z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