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900"/>
      </w:pPr>
      <w:r>
        <w:rPr>
          <w:b/>
          <w:bCs/>
          <w:color w:val="000000"/>
          <w:spacing w:val="60"/>
          <w:sz w:val="26"/>
          <w:szCs w:val="26"/>
        </w:rPr>
        <w:t xml:space="preserve">PROJETO LUMEN</w:t>
      </w:r>
    </w:p>
    <w:p>
      <w:pPr>
        <w:spacing w:after="400"/>
      </w:pPr>
      <w:r>
        <w:rPr>
          <w:color w:val="000000"/>
          <w:sz w:val="20"/>
          <w:szCs w:val="20"/>
        </w:rPr>
        <w:t xml:space="preserve">Monitoramento de contratações e despesas públicas do Brasil</w:t>
      </w:r>
    </w:p>
    <w:p>
      <w:pPr>
        <w:spacing w:after="80"/>
      </w:pPr>
      <w:r>
        <w:rPr>
          <w:b/>
          <w:bCs/>
          <w:color w:val="000000"/>
          <w:sz w:val="22"/>
          <w:szCs w:val="22"/>
        </w:rPr>
        <w:t xml:space="preserve">DOC-06</w:t>
      </w:r>
    </w:p>
    <w:p>
      <w:pPr>
        <w:spacing w:after="140"/>
      </w:pPr>
      <w:r>
        <w:rPr>
          <w:b/>
          <w:bCs/>
          <w:color w:val="000000"/>
          <w:sz w:val="48"/>
          <w:szCs w:val="48"/>
        </w:rPr>
        <w:t xml:space="preserve">Catálogo de Fontes</w:t>
      </w:r>
    </w:p>
    <w:p>
      <w:pPr>
        <w:pBdr>
          <w:bottom w:val="single" w:color="000000" w:sz="8" w:space="14"/>
        </w:pBdr>
        <w:spacing w:after="700"/>
      </w:pPr>
      <w:r>
        <w:rPr>
          <w:i/>
          <w:iCs/>
          <w:color w:val="000000"/>
          <w:sz w:val="24"/>
          <w:szCs w:val="24"/>
        </w:rPr>
        <w:t xml:space="preserve">Fontes por esfera, estratégia de cobertura nacional e coleta responsável</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7200"/>
      </w:tblGrid>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Projeto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Lumen (nome de trabalho, sujeito a verificação de disponibilidade)</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Responsável</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Gaspare</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Versão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2.0</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Data</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20 de outubro de 2026</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Situação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Atualizado com o comportamento real das fontes da Fase 1, as da aba Eleições e as de referência de mercado (seção 2.8)</w:t>
            </w:r>
          </w:p>
        </w:tc>
      </w:tr>
    </w:tbl>
    <w:p>
      <w:pPr>
        <w:spacing w:after="300"/>
      </w:pPr>
    </w:p>
    <w:p>
      <w:pPr>
        <w:spacing w:after="120"/>
      </w:pPr>
      <w:r>
        <w:rPr>
          <w:b w:val="false"/>
          <w:bCs w:val="false"/>
          <w:i/>
          <w:iCs/>
          <w:color w:val="000000"/>
          <w:sz w:val="18"/>
          <w:szCs w:val="18"/>
        </w:rPr>
        <w:t xml:space="preserve">Este documento integra o pacote de documentação do Projeto Lumen. Valores legais, limites e endpoints citados foram verificados em fontes oficiais em outubro de 2026 e devem ser reconferidos antes da implementação, pois são atualizados periodicamente por decreto.</w:t>
      </w:r>
    </w:p>
    <w:p>
      <w:r>
        <w:br w:type="page"/>
      </w:r>
    </w:p>
    <w:p>
      <w:pPr>
        <w:pStyle w:val="Heading1"/>
        <w:keepNext/>
        <w:keepLines/>
        <w:spacing w:after="160" w:before="380"/>
      </w:pPr>
      <w:bookmarkStart w:name="_Toc1" w:id="1"/>
      <w:r>
        <w:t xml:space="preserve">Sumário</w:t>
      </w:r>
      <w:bookmarkEnd w:id="1"/>
    </w:p>
    <w:p>
      <w:pPr>
        <w:spacing w:after="120"/>
      </w:pPr>
      <w:r>
        <w:rPr>
          <w:b w:val="false"/>
          <w:bCs w:val="false"/>
          <w:i/>
          <w:iCs/>
          <w:color w:val="000000"/>
          <w:sz w:val="18"/>
          <w:szCs w:val="18"/>
        </w:rPr>
        <w:t xml:space="preserve">Para preencher o sumário, selecione todo o documento (Ctrl+A) e atualize os campos (F9). No Word, também é possível clicar com o botão direito sobre o sumário e escolher Atualizar campo.</w:t>
      </w:r>
    </w:p>
    <w:sdt>
      <w:sdtPr>
        <w:alias w:val="Sumário"/>
      </w:sdtPr>
      <w:sdtContent>
        <w:p>
          <w:pPr>
            <w:pStyle w:val="TOC1"/>
            <w:tabs>
              <w:tab w:val="right" w:pos="9638" w:leader="dot"/>
            </w:tabs>
          </w:pPr>
          <w:r>
            <w:fldChar w:fldCharType="begin" w:dirty="true"/>
            <w:instrText xml:space="preserve">TOC \h \o "1-3"</w:instrText>
            <w:fldChar w:fldCharType="separate"/>
          </w:r>
          <w:hyperlink w:history="1" w:anchor="_Toc1">
            <w:r>
              <w:t xml:space="preserve">Sumário</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1. Estratégia de cobertura</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2. Camada 1 — Fontes federais estruturadas</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2.1 PNCP — Portal Nacional de Contratações Públicas</w:t>
            </w:r>
            <w:r>
              <w:tab/>
            </w:r>
            <w:r>
              <w:fldChar w:fldCharType="begin" w:dirty="true"/>
              <w:instrText xml:space="preserve">PAGEREF _Toc4 \h</w:instrText>
              <w:fldChar w:fldCharType="separate"/>
              <w:fldChar w:fldCharType="end"/>
            </w:r>
          </w:hyperlink>
        </w:p>
        <w:p>
          <w:pPr>
            <w:pStyle w:val="TOC3"/>
            <w:tabs>
              <w:tab w:val="right" w:pos="9638" w:leader="dot"/>
            </w:tabs>
            <w:ind w:left="440"/>
          </w:pPr>
          <w:hyperlink w:history="1" w:anchor="_Toc5">
            <w:r>
              <w:t xml:space="preserve">Recursos relevantes</w:t>
            </w:r>
            <w:r>
              <w:tab/>
            </w:r>
            <w:r>
              <w:fldChar w:fldCharType="begin" w:dirty="true"/>
              <w:instrText xml:space="preserve">PAGEREF _Toc5 \h</w:instrText>
              <w:fldChar w:fldCharType="separate"/>
              <w:fldChar w:fldCharType="end"/>
            </w:r>
          </w:hyperlink>
        </w:p>
        <w:p>
          <w:pPr>
            <w:pStyle w:val="TOC3"/>
            <w:tabs>
              <w:tab w:val="right" w:pos="9638" w:leader="dot"/>
            </w:tabs>
            <w:ind w:left="440"/>
          </w:pPr>
          <w:hyperlink w:history="1" w:anchor="_Toc6">
            <w:r>
              <w:t xml:space="preserve">Comportamento real observado (outubro de 2026)</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2.2 SICONFI — Tesouro Nacional</w:t>
            </w:r>
            <w:r>
              <w:tab/>
            </w:r>
            <w:r>
              <w:fldChar w:fldCharType="begin" w:dirty="true"/>
              <w:instrText xml:space="preserve">PAGEREF _Toc7 \h</w:instrText>
              <w:fldChar w:fldCharType="separate"/>
              <w:fldChar w:fldCharType="end"/>
            </w:r>
          </w:hyperlink>
        </w:p>
        <w:p>
          <w:pPr>
            <w:pStyle w:val="TOC3"/>
            <w:tabs>
              <w:tab w:val="right" w:pos="9638" w:leader="dot"/>
            </w:tabs>
            <w:ind w:left="440"/>
          </w:pPr>
          <w:hyperlink w:history="1" w:anchor="_Toc8">
            <w:r>
              <w:t xml:space="preserve">Comportamento real observado (outubro de 2026)</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2.3 Portal da Transparência — CGU</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2.4 Receita Federal — base pública de CNPJ</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2.5 Demais fontes federais</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2.6 TSE — resultados eleitorais (aba Eleições)</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2.7 IBGE — localidades, população e malhas</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2.8 Referência de mercado de fora do governo (regra A-05)</w:t>
            </w:r>
            <w:r>
              <w:tab/>
            </w:r>
            <w:r>
              <w:fldChar w:fldCharType="begin" w:dirty="true"/>
              <w:instrText xml:space="preserve">PAGEREF _Toc14 \h</w:instrText>
              <w:fldChar w:fldCharType="separate"/>
              <w:fldChar w:fldCharType="end"/>
            </w:r>
          </w:hyperlink>
        </w:p>
        <w:p>
          <w:pPr>
            <w:pStyle w:val="TOC1"/>
            <w:tabs>
              <w:tab w:val="right" w:pos="9638" w:leader="dot"/>
            </w:tabs>
          </w:pPr>
          <w:hyperlink w:history="1" w:anchor="_Toc15">
            <w:r>
              <w:t xml:space="preserve">3. Camada 2 — Estados e tribunais de contas</w:t>
            </w:r>
            <w:r>
              <w:tab/>
            </w:r>
            <w:r>
              <w:fldChar w:fldCharType="begin" w:dirty="true"/>
              <w:instrText xml:space="preserve">PAGEREF _Toc15 \h</w:instrText>
              <w:fldChar w:fldCharType="separate"/>
              <w:fldChar w:fldCharType="end"/>
            </w:r>
          </w:hyperlink>
        </w:p>
        <w:p>
          <w:pPr>
            <w:pStyle w:val="TOC1"/>
            <w:tabs>
              <w:tab w:val="right" w:pos="9638" w:leader="dot"/>
            </w:tabs>
          </w:pPr>
          <w:hyperlink w:history="1" w:anchor="_Toc16">
            <w:r>
              <w:t xml:space="preserve">4. Camada 3 — Municípios</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4.1 Abordagem por família de plataforma</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4.2 Cauda longa</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4.3 Especificação declarativa de fonte</w:t>
            </w:r>
            <w:r>
              <w:tab/>
            </w:r>
            <w:r>
              <w:fldChar w:fldCharType="begin" w:dirty="true"/>
              <w:instrText xml:space="preserve">PAGEREF _Toc19 \h</w:instrText>
              <w:fldChar w:fldCharType="separate"/>
              <w:fldChar w:fldCharType="end"/>
            </w:r>
          </w:hyperlink>
        </w:p>
        <w:p>
          <w:pPr>
            <w:pStyle w:val="TOC1"/>
            <w:tabs>
              <w:tab w:val="right" w:pos="9638" w:leader="dot"/>
            </w:tabs>
          </w:pPr>
          <w:hyperlink w:history="1" w:anchor="_Toc20">
            <w:r>
              <w:t xml:space="preserve">5. Política de coleta responsável</w:t>
            </w:r>
            <w:r>
              <w:tab/>
            </w:r>
            <w:r>
              <w:fldChar w:fldCharType="begin" w:dirty="true"/>
              <w:instrText xml:space="preserve">PAGEREF _Toc20 \h</w:instrText>
              <w:fldChar w:fldCharType="separate"/>
              <w:fldChar w:fldCharType="end"/>
            </w:r>
          </w:hyperlink>
        </w:p>
        <w:p>
          <w:pPr>
            <w:pStyle w:val="TOC1"/>
            <w:tabs>
              <w:tab w:val="right" w:pos="9638" w:leader="dot"/>
            </w:tabs>
          </w:pPr>
          <w:hyperlink w:history="1" w:anchor="_Toc21">
            <w:r>
              <w:t xml:space="preserve">6. Matriz de cobertura esperada por fase</w:t>
            </w:r>
            <w:r>
              <w:tab/>
            </w:r>
            <w:r>
              <w:fldChar w:fldCharType="begin" w:dirty="true"/>
              <w:instrText xml:space="preserve">PAGEREF _Toc21 \h</w:instrText>
              <w:fldChar w:fldCharType="separate"/>
              <w:fldChar w:fldCharType="end"/>
            </w:r>
          </w:hyperlink>
        </w:p>
        <w:p>
          <w:pPr>
            <w:pStyle w:val="TOC1"/>
            <w:tabs>
              <w:tab w:val="right" w:pos="9638" w:leader="dot"/>
            </w:tabs>
          </w:pPr>
          <w:hyperlink w:history="1" w:anchor="_Toc22">
            <w:r>
              <w:t xml:space="preserve">7. Situação da integração (outubro de 2026)</w:t>
            </w:r>
            <w:r>
              <w:tab/>
            </w:r>
            <w:r>
              <w:fldChar w:fldCharType="begin" w:dirty="true"/>
              <w:instrText xml:space="preserve">PAGEREF _Toc22 \h</w:instrText>
              <w:fldChar w:fldCharType="separate"/>
              <w:fldChar w:fldCharType="end"/>
            </w:r>
          </w:hyperlink>
        </w:p>
        <w:p>
          <w:pPr>
            <w:pStyle w:val="TOC1"/>
            <w:tabs>
              <w:tab w:val="right" w:pos="9638" w:leader="dot"/>
            </w:tabs>
          </w:pPr>
          <w:hyperlink w:history="1" w:anchor="_Toc23">
            <w:r>
              <w:t xml:space="preserve">8. Registro de fontes</w:t>
            </w:r>
            <w:r>
              <w:tab/>
            </w:r>
            <w:r>
              <w:fldChar w:fldCharType="begin" w:dirty="true"/>
              <w:instrText xml:space="preserve">PAGEREF _Toc23 \h</w:instrText>
              <w:fldChar w:fldCharType="separate"/>
              <w:fldChar w:fldCharType="end"/>
            </w:r>
          </w:hyperlink>
        </w:p>
        <w:p>
          <w:r>
            <w:fldChar w:fldCharType="end"/>
          </w:r>
        </w:p>
      </w:sdtContent>
    </w:sdt>
    <w:p>
      <w:r>
        <w:br w:type="page"/>
      </w:r>
    </w:p>
    <w:p>
      <w:pPr>
        <w:pStyle w:val="Heading1"/>
        <w:keepNext/>
        <w:keepLines/>
        <w:spacing w:after="160" w:before="380"/>
      </w:pPr>
      <w:bookmarkStart w:name="_Toc2" w:id="2"/>
      <w:r>
        <w:t xml:space="preserve">1. Estratégia de cobertura</w:t>
      </w:r>
      <w:bookmarkEnd w:id="2"/>
    </w:p>
    <w:p>
      <w:pPr>
        <w:spacing w:after="120"/>
      </w:pPr>
      <w:r>
        <w:rPr>
          <w:b w:val="false"/>
          <w:bCs w:val="false"/>
          <w:i w:val="false"/>
          <w:iCs w:val="false"/>
        </w:rPr>
        <w:t xml:space="preserve">A pergunta central deste documento é: como cobrir mais de seis mil entes sem construir mais de seis mil integrações. A resposta tem três movimentos, executados nessa ordem.</w:t>
      </w:r>
    </w:p>
    <w:p>
      <w:pPr>
        <w:pStyle w:val="ListParagraph"/>
        <w:numPr>
          <w:ilvl w:val="0"/>
          <w:numId w:val="2"/>
        </w:numPr>
        <w:spacing w:after="70"/>
      </w:pPr>
      <w:r>
        <w:t xml:space="preserve">Integrar as bases federais de envio obrigatório. Como a lei obriga estados e municípios a enviarem seus dados a sistemas federais centralizados, uma única integração entrega dados de milhares de entes. Este é o movimento que viabiliza o projeto.</w:t>
      </w:r>
    </w:p>
    <w:p>
      <w:pPr>
        <w:pStyle w:val="ListParagraph"/>
        <w:numPr>
          <w:ilvl w:val="0"/>
          <w:numId w:val="2"/>
        </w:numPr>
        <w:spacing w:after="70"/>
      </w:pPr>
      <w:r>
        <w:t xml:space="preserve">Integrar por família de plataforma. A maior parte dos municípios não desenvolve seu portal de transparência: contrata de um número reduzido de fornecedores de software. Um conector por família de plataforma cobre dezenas ou centenas de municípios de uma vez.</w:t>
      </w:r>
    </w:p>
    <w:p>
      <w:pPr>
        <w:pStyle w:val="ListParagraph"/>
        <w:numPr>
          <w:ilvl w:val="0"/>
          <w:numId w:val="2"/>
        </w:numPr>
        <w:spacing w:after="70"/>
      </w:pPr>
      <w:r>
        <w:t xml:space="preserve">Tratar a cauda longa com extração de documentos e mapeamento assistido. Só o que restar depois dos dois movimentos anteriores recebe tratamento individual.</w:t>
      </w:r>
    </w:p>
    <w:tbl>
      <w:tblPr>
        <w:tblW w:type="dxa" w:w="9600"/>
        <w:tblBorders>
          <w:top w:val="single" w:color="548235" w:sz="6"/>
          <w:left w:val="single" w:color="548235" w:sz="18"/>
          <w:bottom w:val="single" w:color="548235" w:sz="6"/>
          <w:right w:val="single" w:color="548235" w:sz="6"/>
          <w:insideH w:val="none" w:color="FFFFFF" w:sz="0"/>
          <w:insideV w:val="none" w:color="FFFFFF" w:sz="0"/>
        </w:tblBorders>
      </w:tblPr>
      <w:tblGrid>
        <w:gridCol w:w="9600"/>
      </w:tblGrid>
      <w:tr>
        <w:trPr>
          <w:cantSplit/>
        </w:trPr>
        <w:tc>
          <w:tcPr>
            <w:tcW w:type="dxa" w:w="9600"/>
            <w:shd w:fill="EAF3E3" w:val="clear"/>
            <w:tcMar>
              <w:top w:type="dxa" w:w="130"/>
              <w:left w:type="dxa" w:w="170"/>
              <w:bottom w:type="dxa" w:w="130"/>
              <w:right w:type="dxa" w:w="150"/>
            </w:tcMar>
          </w:tcPr>
          <w:p>
            <w:pPr>
              <w:spacing w:after="90"/>
            </w:pPr>
            <w:r>
              <w:rPr>
                <w:b/>
                <w:bCs/>
                <w:color w:val="000000"/>
              </w:rPr>
              <w:t xml:space="preserve">A constatação que muda a ordem de grandeza do projeto</w:t>
            </w:r>
          </w:p>
          <w:p>
            <w:pPr>
              <w:spacing w:after="70"/>
            </w:pPr>
            <w:r>
              <w:t xml:space="preserve">O PNCP, criado pela Lei 14.133/2021, centraliza as contratações de todos os entes federativos e expõe API pública. O SICONFI, do Tesouro Nacional, concentra os relatórios contábeis e fiscais de estados e municípios, com API aberta e sem exigência de cadastro.</w:t>
            </w:r>
          </w:p>
          <w:p>
            <w:pPr>
              <w:spacing w:after="70"/>
            </w:pPr>
            <w:r>
              <w:t xml:space="preserve">Juntas, essas duas fontes dão alcance nacional na primeira fase do projeto. A raspagem municipal, que a intuição colocaria como tarefa principal, é na verdade um complemento para preencher lacunas e obter detalhe que as bases federais não trazem.</w:t>
            </w:r>
          </w:p>
        </w:tc>
      </w:tr>
    </w:tbl>
    <w:p>
      <w:r>
        <w:br w:type="page"/>
      </w:r>
    </w:p>
    <w:p>
      <w:pPr>
        <w:pStyle w:val="Heading1"/>
        <w:keepNext/>
        <w:keepLines/>
        <w:spacing w:after="160" w:before="380"/>
      </w:pPr>
      <w:bookmarkStart w:name="_Toc3" w:id="3"/>
      <w:r>
        <w:t xml:space="preserve">2. Camada 1 — Fontes federais estruturadas</w:t>
      </w:r>
      <w:bookmarkEnd w:id="3"/>
    </w:p>
    <w:p>
      <w:pPr>
        <w:pStyle w:val="Heading2"/>
        <w:keepNext/>
        <w:keepLines/>
        <w:spacing w:after="120" w:before="280"/>
      </w:pPr>
      <w:bookmarkStart w:name="_Toc4" w:id="4"/>
      <w:r>
        <w:t xml:space="preserve">2.1 PNCP — Portal Nacional de Contratações Públicas</w:t>
      </w:r>
      <w:bookmarkEnd w:id="4"/>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Serpro, sob a Lei 14.133/2021</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 de consulta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https://pncp.gov.br/api/consulta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Documentação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Swagger público em /api/consulta/swagger-ui/index.html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Não exigida para a API de consulta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Formato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JSON</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Abrangência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Todos os entes federativos sujeitos à Nova Lei de Licitações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Importância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Fonte primária de contratações, contratos, atas e amparo legal</w:t>
            </w:r>
          </w:p>
        </w:tc>
      </w:tr>
    </w:tbl>
    <w:p>
      <w:pPr>
        <w:pStyle w:val="Heading3"/>
        <w:keepNext/>
        <w:keepLines/>
        <w:spacing w:after="100" w:before="220"/>
      </w:pPr>
      <w:bookmarkStart w:name="_Toc5" w:id="5"/>
      <w:r>
        <w:t xml:space="preserve">Recursos relevantes</w:t>
      </w:r>
      <w:bookmarkEnd w:id="5"/>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300"/>
        <w:gridCol w:w="3500"/>
        <w:gridCol w:w="3800"/>
      </w:tblGrid>
      <w:tr>
        <w:trPr>
          <w:tblHeader/>
        </w:trPr>
        <w:tc>
          <w:tcPr>
            <w:tcW w:type="dxa" w:w="2300"/>
            <w:shd w:fill="1F3864" w:val="clear"/>
            <w:tcMar>
              <w:top w:type="dxa" w:w="80"/>
              <w:left w:type="dxa" w:w="110"/>
              <w:bottom w:type="dxa" w:w="80"/>
              <w:right w:type="dxa" w:w="110"/>
            </w:tcMar>
            <w:vAlign w:val="center"/>
          </w:tcPr>
          <w:p>
            <w:pPr>
              <w:spacing w:after="0"/>
            </w:pPr>
            <w:r>
              <w:rPr>
                <w:b/>
                <w:bCs/>
                <w:color w:val="FFFFFF"/>
                <w:sz w:val="19"/>
                <w:szCs w:val="19"/>
              </w:rPr>
              <w:t xml:space="preserve">Recurso</w:t>
            </w:r>
          </w:p>
        </w:tc>
        <w:tc>
          <w:tcPr>
            <w:tcW w:type="dxa" w:w="3500"/>
            <w:shd w:fill="1F3864" w:val="clear"/>
            <w:tcMar>
              <w:top w:type="dxa" w:w="80"/>
              <w:left w:type="dxa" w:w="110"/>
              <w:bottom w:type="dxa" w:w="80"/>
              <w:right w:type="dxa" w:w="110"/>
            </w:tcMar>
            <w:vAlign w:val="center"/>
          </w:tcPr>
          <w:p>
            <w:pPr>
              <w:spacing w:after="0"/>
            </w:pPr>
            <w:r>
              <w:rPr>
                <w:b/>
                <w:bCs/>
                <w:color w:val="FFFFFF"/>
                <w:sz w:val="19"/>
                <w:szCs w:val="19"/>
              </w:rPr>
              <w:t xml:space="preserve">Endpoint</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Uso no Lumen</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por publicação</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/v1/contratacoes/publicacao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Carga inicial e acompanhamento diário</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Contratações por atualização</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/v1/contratacoes/atualizacao</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Captura alterações posteriores à publicação</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Contratação específica</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/v1/orgaos/{cnpj}/compras/{ano}/{sequencial}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Detalhamento sob demanda</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Contratos e empenhos</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/v1/contratos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Contratos firmados e seus valores</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Contratos por atualização</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/v1/contratos/atualizacao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Aditivos e mudanças de valor</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Atas de registro de preço</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/v1/atas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Comparação de preços registrados entre entes</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Instrumentos de cobrança</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/v1/instrumentoscobranca/inclusao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Notas fiscais vinculadas à execução</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Planos de contratação anual</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/v1/pca/</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Comparação entre o planejado e o executado</w:t>
            </w:r>
          </w:p>
        </w:tc>
      </w:tr>
    </w:tbl>
    <w:p>
      <w:pPr>
        <w:pStyle w:val="Heading3"/>
        <w:keepNext/>
        <w:keepLines/>
        <w:spacing w:after="100" w:before="220"/>
      </w:pPr>
      <w:bookmarkStart w:name="_Toc6" w:id="6"/>
      <w:r>
        <w:t xml:space="preserve">Comportamento real observado (outubro de 2026)</w:t>
      </w:r>
      <w:bookmarkEnd w:id="6"/>
    </w:p>
    <w:p>
      <w:pPr>
        <w:spacing w:after="120"/>
      </w:pPr>
      <w:r>
        <w:rPr>
          <w:b w:val="false"/>
          <w:bCs w:val="false"/>
          <w:i w:val="false"/>
          <w:iCs w:val="false"/>
        </w:rPr>
        <w:t xml:space="preserve">A documentação oficial não basta para coletar o PNCP. Os pontos abaixo foram observados nas respostas reais durante a construção dos conectores da Fase 1; cada um tem fixture e teste próprios.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600"/>
        <w:gridCol w:w="5000"/>
      </w:tblGrid>
      <w:tr>
        <w:trPr>
          <w:tblHeader/>
        </w:trPr>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Comportamento</w:t>
            </w:r>
          </w:p>
        </w:tc>
        <w:tc>
          <w:tcPr>
            <w:tcW w:type="dxa" w:w="5000"/>
            <w:shd w:fill="1F3864" w:val="clear"/>
            <w:tcMar>
              <w:top w:type="dxa" w:w="80"/>
              <w:left w:type="dxa" w:w="110"/>
              <w:bottom w:type="dxa" w:w="80"/>
              <w:right w:type="dxa" w:w="110"/>
            </w:tcMar>
            <w:vAlign w:val="center"/>
          </w:tcPr>
          <w:p>
            <w:pPr>
              <w:spacing w:after="0"/>
            </w:pPr>
            <w:r>
              <w:rPr>
                <w:b/>
                <w:bCs/>
                <w:color w:val="FFFFFF"/>
                <w:sz w:val="19"/>
                <w:szCs w:val="19"/>
              </w:rPr>
              <w:t xml:space="preserve">Como o Lumen trata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codigoModalidadeContratacao é obrigatório em /v1/contratacoes/*; sem ele, erro 400</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 coleta de contratações percorre as 19 modalidades do domínio oficial</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tamanhoPagina aceita no máximo 50 em contratações e 500 em contratos e atas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conector usa o máximo de cada recurso e recusa valor fora da faixa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Janela de datas acima de 365 dias responde 422</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 coleta fatia por dia, o que também mantém o tamanho das páginas previsível</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Página sem registros responde 204 sem corpo, não 200 com lista vazia</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204 é tratado como fim da listagem</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Erro 422 traz status como texto ("422"); erro 400 traz número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Leitura tolerante aos dois formatos</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Itens, resultados e arquivos de uma contratação ficam em outra API (/api/pncp, no caminho do órgão)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Conector próprio (pncp_itens), separado da consulta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usuarioNome é a plataforma de software que enviou os dados, não uma pessoa</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Guardado como plataforma; o agente que autorizou o ato fica vazio (ADR-017)</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Descrição do amparo legal ainda cita os valores originais da lei (R$ 50 mil e R$ 100 mil)</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limite vem do código do amparo e dos parâmetros legais datados, nunca do texto</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Dados com erro de digitação (ata com vigência no ano 7203)</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Linha vai para a quarentena com o motivo; o resto do artefato segue</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valorTotalEstimado = 0 com valor homologado nulo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Aceito com marcação de qualidade; nunca usado como valor zero</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esferaId e poderId iguais a N (não informado)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Viram nulo, com marcação; o ente não é adivinhado</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Órgão estadual com o código IBGE da capital</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ente é o estado, não o município</w:t>
            </w:r>
          </w:p>
        </w:tc>
      </w:tr>
    </w:tbl>
    <w:p>
      <w:pPr>
        <w:spacing w:after="120"/>
      </w:pPr>
      <w:r>
        <w:rPr>
          <w:b w:val="false"/>
          <w:bCs w:val="false"/>
          <w:i w:val="false"/>
          <w:iCs w:val="false"/>
        </w:rPr>
        <w:t xml:space="preserve">Limite padrão do Lumen: 60 requisições por minuto em cada recurso do PNCP, ajustável em lumen.toml.</w:t>
      </w: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Lacuna que afeta a política editorial</w:t>
            </w:r>
          </w:p>
          <w:p>
            <w:pPr>
              <w:spacing w:after="70"/>
            </w:pPr>
            <w:r>
              <w:t xml:space="preserve">A API do PNCP não publica quem autorizou a contratação. A exigência do DOC-08 de mostrar quem praticou o ato depende de fonte complementar (diário oficial ou portal do ente), e nenhum indício que dependa dessa informação pode ser publicado só com o PNCP.</w:t>
            </w:r>
          </w:p>
        </w:tc>
      </w:tr>
    </w:tbl>
    <w:p>
      <w:pPr>
        <w:spacing w:after="100"/>
      </w:pPr>
    </w:p>
    <w:tbl>
      <w:tblPr>
        <w:tblW w:type="dxa" w:w="9600"/>
        <w:tblBorders>
          <w:top w:val="single" w:color="2E75B6" w:sz="6"/>
          <w:left w:val="single" w:color="2E75B6" w:sz="18"/>
          <w:bottom w:val="single" w:color="2E75B6" w:sz="6"/>
          <w:right w:val="single" w:color="2E75B6" w:sz="6"/>
          <w:insideH w:val="none" w:color="FFFFFF" w:sz="0"/>
          <w:insideV w:val="none" w:color="FFFFFF" w:sz="0"/>
        </w:tblBorders>
      </w:tblPr>
      <w:tblGrid>
        <w:gridCol w:w="9600"/>
      </w:tblGrid>
      <w:tr>
        <w:trPr>
          <w:cantSplit/>
        </w:trPr>
        <w:tc>
          <w:tcPr>
            <w:tcW w:type="dxa" w:w="9600"/>
            <w:shd w:fill="DCE6F1" w:val="clear"/>
            <w:tcMar>
              <w:top w:type="dxa" w:w="130"/>
              <w:left w:type="dxa" w:w="170"/>
              <w:bottom w:type="dxa" w:w="130"/>
              <w:right w:type="dxa" w:w="150"/>
            </w:tcMar>
          </w:tcPr>
          <w:p>
            <w:pPr>
              <w:spacing w:after="90"/>
            </w:pPr>
            <w:r>
              <w:rPr>
                <w:b/>
                <w:bCs/>
                <w:color w:val="000000"/>
              </w:rPr>
              <w:t xml:space="preserve">Por que o PNCP é a fonte mais valiosa do projeto</w:t>
            </w:r>
          </w:p>
          <w:p>
            <w:pPr>
              <w:spacing w:after="70"/>
            </w:pPr>
            <w:r>
              <w:t xml:space="preserve">Além de contratos e valores, a API traz o amparo legal como campo estruturado, e não como texto livre. Isso permite responder de forma objetiva, e em escala nacional, com que fundamento cada contratação direta foi realizada — exatamente o dado que sustenta as regras de dispensa e fracionamento, e o requisito de registrar por que o ato foi autorizado.</w:t>
            </w:r>
          </w:p>
        </w:tc>
      </w:tr>
    </w:tbl>
    <w:p>
      <w:pPr>
        <w:pStyle w:val="Heading2"/>
        <w:keepNext/>
        <w:keepLines/>
        <w:spacing w:after="120" w:before="280"/>
      </w:pPr>
      <w:bookmarkStart w:name="_Toc7" w:id="7"/>
      <w:r>
        <w:t xml:space="preserve">2.2 SICONFI — Tesouro Nacional</w:t>
      </w:r>
      <w:bookmarkEnd w:id="7"/>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Secretaria do Tesouro Nacional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https://apidatalake.tesouro.gov.br/ords/siconfi/tt/</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Não exigida</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Formato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JSON, paginação padrão de 5.000 itens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Limite de taxa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Recomendação de aproximadamente uma requisição por segundo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Abrangência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Estados, Distrito Federal e municípios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Conteúdo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RREO bimestral, RGF, DCA anual e séries consolidadas</w:t>
            </w:r>
          </w:p>
        </w:tc>
      </w:tr>
    </w:tbl>
    <w:p>
      <w:pPr>
        <w:spacing w:after="120"/>
      </w:pPr>
      <w:r>
        <w:rPr>
          <w:b w:val="false"/>
          <w:bCs w:val="false"/>
          <w:i w:val="false"/>
          <w:iCs w:val="false"/>
        </w:rPr>
        <w:t xml:space="preserve">O SICONFI fornece a dimensão orçamentária e fiscal que o PNCP não cobre: receita, despesa por função, endividamento e indicadores de gestão fiscal. É a base do cálculo de gasto per capita e da formação dos grupos de pares.</w:t>
      </w:r>
    </w:p>
    <w:p>
      <w:pPr>
        <w:pStyle w:val="Heading3"/>
        <w:keepNext/>
        <w:keepLines/>
        <w:spacing w:after="100" w:before="220"/>
      </w:pPr>
      <w:bookmarkStart w:name="_Toc8" w:id="8"/>
      <w:r>
        <w:t xml:space="preserve">Comportamento real observado (outubro de 2026)</w:t>
      </w:r>
      <w:bookmarkEnd w:id="8"/>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600"/>
        <w:gridCol w:w="5000"/>
      </w:tblGrid>
      <w:tr>
        <w:trPr>
          <w:tblHeader/>
        </w:trPr>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Comportamento</w:t>
            </w:r>
          </w:p>
        </w:tc>
        <w:tc>
          <w:tcPr>
            <w:tcW w:type="dxa" w:w="5000"/>
            <w:shd w:fill="1F3864" w:val="clear"/>
            <w:tcMar>
              <w:top w:type="dxa" w:w="80"/>
              <w:left w:type="dxa" w:w="110"/>
              <w:bottom w:type="dxa" w:w="80"/>
              <w:right w:type="dxa" w:w="110"/>
            </w:tcMar>
            <w:vAlign w:val="center"/>
          </w:tcPr>
          <w:p>
            <w:pPr>
              <w:spacing w:after="0"/>
            </w:pPr>
            <w:r>
              <w:rPr>
                <w:b/>
                <w:bCs/>
                <w:color w:val="FFFFFF"/>
                <w:sz w:val="19"/>
                <w:szCs w:val="19"/>
              </w:rPr>
              <w:t xml:space="preserve">Como o Lumen trata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Paginação ORDS por offset, com hasMore, até 5.000 itens por página</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Leitura por deslocamento até hasMore = false</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/entes lista 5.598 entes, com código IBGE, CNPJ e população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Base do cadastro de entes e do grupo de pares</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capital vem como texto com espaços ("1  ")</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Normalizado antes da conversão</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Estados vêm com uf = "BR"; a União vem com cod_ibge = 1, uf nulo e população que não é a do país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 UF sai do código IBGE (divergência vira marcação); a população da União fica como veio, marcada, e nunca entra em grupo de pares</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/extrato_entregas diz o que cada ente entregou num exercício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Origem da lista de ausentes (família I, RF-CF-01)</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/rreo exige o tipo do demonstrativo: RREO ou RREO Simplificado (municípios com menos de 50 mil habitantes podem optar, LRF art. 63), e cada ente publica só um. O porte não diz qual: em 2025, quase todos os pequenos de Roraima e do Amapá publicaram o completo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tipo vem do extrato de entregas ("Relatório Resumido de Execução Orçamentária" ou "… Simplificado", no 6º bimestre); uma consulta por ente</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/dca, Anexo I-E: despesa por função de cada ano, de 2014 em diante (2013 vem vazio); até 2016 o total se chama "Despesas (Exceto Intraorçamentárias)", com parênteses</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Lida sob demanda no portal, pelo endereço /api/siconfi/dca, que a Vercel repassa (a API não aceita pedido de outro site): governos municipais (ADR-040)</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RREO da União (id_ente=1), Anexo 2: despesa por função de 2015 em diante; funções e subfunções na mesma lista, sem marcação; a coluna da liquidada mudou de nome em 2016 e, depois, as funções se repetem num bloco das intraorçamentárias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As 28 funções da Portaria 42/1999 somam o total (conferido em toda leitura); em bilhões de reais corrigidos pelo IPCA na Economia (ADR-033)</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A RCL fica no Anexo 03, conta RREO3ReceitaCorrenteLiquida, coluna TOTAL (ÚLTIMOS 12 MESES); a resposta do anexo tem perto de 430 linhas por ente, com valores numéricos</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Cada linha vira LinhaDemonstrativo; a RCL do exercício anterior entra nos grupos de pares (ADR-038, versão 2)</w:t>
            </w:r>
          </w:p>
        </w:tc>
      </w:tr>
    </w:tbl>
    <w:p>
      <w:pPr>
        <w:spacing w:after="120"/>
      </w:pPr>
      <w:r>
        <w:rPr>
          <w:b w:val="false"/>
          <w:bCs w:val="false"/>
          <w:i w:val="false"/>
          <w:iCs w:val="false"/>
        </w:rPr>
        <w:t xml:space="preserve">Limite padrão do Lumen: 50 requisições por minuto, abaixo da recomendação do Tesouro de cerca de uma por segundo.</w:t>
      </w: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A lacuna do SICONFI também é dado</w:t>
            </w:r>
          </w:p>
          <w:p>
            <w:pPr>
              <w:spacing w:after="70"/>
            </w:pPr>
            <w:r>
              <w:t xml:space="preserve">As consolidações do Tesouro cobrem a maior parte dos municípios brasileiros, mas não todos. Os entes ausentes em um dado exercício são, por definição, entes que não cumpriram uma obrigação legal de envio. Essa lista de ausentes é coletada e alimenta diretamente o módulo de conformidade, e constitui o sinal de descumprimento mais objetivo e menos contestável que o sistema produz.</w:t>
            </w:r>
          </w:p>
        </w:tc>
      </w:tr>
    </w:tbl>
    <w:p>
      <w:pPr>
        <w:pStyle w:val="Heading2"/>
        <w:keepNext/>
        <w:keepLines/>
        <w:spacing w:after="120" w:before="280"/>
      </w:pPr>
      <w:bookmarkStart w:name="_Toc9" w:id="9"/>
      <w:r>
        <w:t xml:space="preserve">2.3 Portal da Transparência — CGU</w:t>
      </w:r>
      <w:bookmarkEnd w:id="9"/>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Controladoria-Geral da União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 da API</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https://api.portaldatransparencia.gov.br (cabeçalho chave-api-dados; 15 registros por página)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Arquivos de dados abertos</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https://portaldatransparencia.gov.br/download-de-dados/&lt;conjunto&gt;/AAAAMMDD, que redireciona para dadosabertos-download.cgu.gov.br; ZIP com um CSV em ISO-8859-1, separado por ;</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API: token gratuito, obtido por cadastro de e-mail. Arquivos: nenhuma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Limite de taxa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API: 400 requisições por minuto entre 6h e 23h59; 700 entre 0h e 5h59. Arquivos: o Lumen faz duas requisições por cadastro e por dia, com limite de 10 por minuto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Base legal de uso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Livre utilização conforme o Decreto 8.777/2016</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Recomendação oficial</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Para volume alto, usar os arquivos de dados abertos em vez da API</w:t>
            </w:r>
          </w:p>
        </w:tc>
      </w:tr>
    </w:tbl>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600"/>
        <w:gridCol w:w="38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Uso no Lumen</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Despesas públicas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Documentos de despesa do Executivo federal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Cadeia de empenho, liquidação e pagamento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Convênios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Transferências a estados e municípios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Rastrear destino de recurso federal</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Emendas parlamentares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Emendas e documentos vinculados</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Vincular emenda ao executor final</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CEIS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Empresas inidôneas e suspensas (23.787 sanções em 15/10/2026)</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Coletado (cgu_ceis, ADR-030); regra J-01 na Fase 2</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CNEP</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Empresas punidas pela Lei 12.846/2013 (1.840)</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Coletado (cgu_cnep); regra J-01 na Fase 2</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CEPIM</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Entidades sem fins lucrativos impedidas (3.521)</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Coletado (cgu_cepim); convênios com entidades impedidas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Licitações e contratos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do Executivo federal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Complemento ao PNCP na esfera federal</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Notas fiscais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Notas fiscais eletrônicas publicadas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Confronto entre contratado e efetivamente faturado</w:t>
            </w:r>
          </w:p>
        </w:tc>
      </w:tr>
    </w:tbl>
    <w:p>
      <w:pPr>
        <w:spacing w:after="120"/>
      </w:pPr>
      <w:r>
        <w:rPr>
          <w:b w:val="false"/>
          <w:bCs w:val="false"/>
          <w:i w:val="false"/>
          <w:iCs w:val="false"/>
        </w:rPr>
        <w:t xml:space="preserve">CEIS, CNEP e CEPIM vêm dos arquivos de dados abertos, e não da API (ADR-030). Cada arquivo é o retrato do cadastro inteiro num dia; a página de download declara a data do mais recente, que em 16/10/2026 era 15/10 no CEIS e no CNEP e 14/10 no CEPIM. Comportamento observado em 16/10/2026: o CEIS publica o CPF inteiro das pessoas físicas sancionadas (9.170 linhas), que o Lumen mascara na normalização; "Sem Informação" marca campo não informado; há sanções com prazo determinado que terminam em 31/12/2099; sancionados estrangeiros vêm sem tipo de pessoa e com documento de 7 a 9 dígitos; o CEPIM não tem datas nem código da sanção.</w:t>
      </w:r>
    </w:p>
    <w:p>
      <w:pPr>
        <w:pStyle w:val="Heading2"/>
        <w:keepNext/>
        <w:keepLines/>
        <w:spacing w:after="120" w:before="280"/>
      </w:pPr>
      <w:bookmarkStart w:name="_Toc10" w:id="10"/>
      <w:r>
        <w:t xml:space="preserve">2.4 Receita Federal — base pública de CNPJ</w:t>
      </w:r>
      <w:bookmarkEnd w:id="10"/>
    </w:p>
    <w:p>
      <w:pPr>
        <w:spacing w:after="120"/>
      </w:pPr>
      <w:r>
        <w:rPr>
          <w:b w:val="false"/>
          <w:bCs w:val="false"/>
          <w:i w:val="false"/>
          <w:iCs w:val="false"/>
        </w:rPr>
        <w:t xml:space="preserve">Distribuída como arquivos completos para download, e não como API de consulta. Traz quadro societário, CNAE, capital social, data de abertura e situação cadastral. É a fonte que transforma um CNPJ em contexto analisável e sustenta toda a família D do catálogo de regras.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3600"/>
        <w:gridCol w:w="3600"/>
      </w:tblGrid>
      <w:tr>
        <w:trPr>
          <w:tblHeader/>
        </w:trPr>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Arquivo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Regra que depende</w:t>
            </w:r>
          </w:p>
        </w:tc>
      </w:tr>
      <w:tr>
        <w:trPr>
          <w:cantSplit/>
        </w:trPr>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Empresas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Razão social, capital social, porte</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D-02 desproporção entre capital e contrato</w:t>
            </w:r>
          </w:p>
        </w:tc>
      </w:tr>
      <w:tr>
        <w:trPr>
          <w:cantSplit/>
        </w:trPr>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Estabelecimentos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CNAE, endereço, situação, data de início</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D-01 empresa recém-constituída; D-03 CNAE incompatível</w:t>
            </w:r>
          </w:p>
        </w:tc>
      </w:tr>
      <w:tr>
        <w:trPr>
          <w:cantSplit/>
        </w:trPr>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Sócios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Quadro societário</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D-04 sócios em comum entre concorrentes</w:t>
            </w:r>
          </w:p>
        </w:tc>
      </w:tr>
    </w:tbl>
    <w:p>
      <w:pPr>
        <w:pStyle w:val="Heading2"/>
        <w:keepNext/>
        <w:keepLines/>
        <w:spacing w:after="120" w:before="280"/>
      </w:pPr>
      <w:bookmarkStart w:name="_Toc11" w:id="11"/>
      <w:r>
        <w:t xml:space="preserve">2.5 Demais fontes federais</w:t>
      </w:r>
      <w:bookmarkEnd w:id="11"/>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4600"/>
        <w:gridCol w:w="24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Prioridade</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Compras.gov.br</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Catálogos CATMAT e CATSER, painel de preços de referência</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Alta, normaliza itens</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TCU — dados abertos</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Acórdãos, processos de fiscalização, licitantes inidôneos</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Média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PNTP — Radar da Transparência (tribunais de contas e Atricon)</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Avaliação anual dos portais de transparência de 11.697 entidades (2025), com o endereço do portal; base por ciclo em ZIP, lida por Range (ADR-032)</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Em uso (pntp_avaliacoes)</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TSE — resultados</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Resultados eleitorais, ao vivo e desde 1933 (seção 2.6)</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Integrado na aba Eleições</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TSE — prestação de contas</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Candidaturas e doações eleitorais</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Média, uso com cautela metodológica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IBGE</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População, localidades e malhas territoriais (seção 2.7)</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Alta, base do grupo de pares e do mapa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SIOPS e SIOPE</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Aplicação mínima em saúde e educação</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Média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Câmara e Senado</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Dados abertos legislativos federais</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Baixa na versão 1.0</w:t>
            </w:r>
          </w:p>
        </w:tc>
      </w:tr>
    </w:tbl>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Cautela metodológica com dados eleitorais</w:t>
            </w:r>
          </w:p>
          <w:p>
            <w:pPr>
              <w:spacing w:after="70"/>
            </w:pPr>
            <w:r>
              <w:t xml:space="preserve">Cruzar doação eleitoral com contratação pública produz associações de forte apelo, mas também de alto risco de leitura equivocada: a relação pode ser inteiramente lícita e a coincidência, estatisticamente esperada em um universo grande. Esse cruzamento só é publicado como contexto factual anexo a um indício originado por outra regra, e nunca como indício autônomo.</w:t>
            </w:r>
          </w:p>
        </w:tc>
      </w:tr>
    </w:tbl>
    <w:p>
      <w:pPr>
        <w:pStyle w:val="Heading2"/>
        <w:keepNext/>
        <w:keepLines/>
        <w:spacing w:after="120" w:before="280"/>
      </w:pPr>
      <w:bookmarkStart w:name="_Toc12" w:id="12"/>
      <w:r>
        <w:t xml:space="preserve">2.6 TSE — resultados eleitorais (aba Eleições)</w:t>
      </w:r>
      <w:bookmarkEnd w:id="12"/>
    </w:p>
    <w:p>
      <w:pPr>
        <w:spacing w:after="120"/>
      </w:pPr>
      <w:r>
        <w:rPr>
          <w:b w:val="false"/>
          <w:bCs w:val="false"/>
          <w:i w:val="false"/>
          <w:iCs w:val="false"/>
        </w:rPr>
        <w:t xml:space="preserve">A aba Eleições usa duas fontes do TSE, descritas em detalhe no DOC-12. Nenhuma delas alimenta o motor de detecção (ADR-024).</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000"/>
        <w:gridCol w:w="3600"/>
        <w:gridCol w:w="4000"/>
      </w:tblGrid>
      <w:tr>
        <w:trPr>
          <w:tblHeader/>
        </w:trPr>
        <w:tc>
          <w:tcPr>
            <w:tcW w:type="dxa" w:w="20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Formato e comportamento observado</w:t>
            </w:r>
          </w:p>
        </w:tc>
      </w:tr>
      <w:tr>
        <w:trPr>
          <w:cantSplit/>
        </w:trPr>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Sistema de divulgação de resultados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https://resultados.tse.jus.br/oficial</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JSON estático por CDN; números como texto com vírgula decimal; data e hora em campos separados, no horário de Brasília; responde 304 a If-Modified-Since. Mantém só eleições recentes.</w:t>
            </w:r>
          </w:p>
        </w:tc>
      </w:tr>
      <w:tr>
        <w:trPr>
          <w:cantSplit/>
        </w:trPr>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Portal de Dados Abertos, 1994 a 2024</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dadosabertos.tse.jus.br (CKAN) e cdn.tse.jus.br (ZIPs)</w:t>
            </w:r>
          </w:p>
        </w:tc>
        <w:tc>
          <w:tcPr>
            <w:tcW w:type="dxa" w:w="4000"/>
            <w:shd w:fill="F2F2F2" w:val="clear"/>
            <w:tcMar>
              <w:top w:type="dxa" w:w="70"/>
              <w:left w:type="dxa" w:w="110"/>
              <w:bottom w:type="dxa" w:w="70"/>
              <w:right w:type="dxa" w:w="110"/>
            </w:tcMar>
            <w:vAlign w:val="center"/>
          </w:tcPr>
          <w:p>
            <w:pPr>
              <w:spacing w:after="0"/>
            </w:pPr>
            <w:r>
              <w:rPr>
                <w:b w:val="false"/>
                <w:bCs w:val="false"/>
                <w:sz w:val="17"/>
                <w:szCs w:val="17"/>
              </w:rPr>
              <w:t xml:space="preserve">CSV Latin-1 com ;, 38, 44 ou 50 colunas conforme o ano; um arquivo por UF, um _BR (Presidente) e um _BRASIL que concatena todos e é ignorado. Diferenças de 1994, 2000 e 2002 a 2014 tratadas no DOC-12.</w:t>
            </w:r>
          </w:p>
        </w:tc>
      </w:tr>
      <w:tr>
        <w:trPr>
          <w:cantSplit/>
        </w:trPr>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Portal de Dados Abertos, 1933 a 1990</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cdn.tse.jus.br/estatistica/sead/odsele (votacao_candidato_uf, detalhe_votacao_uf, votacao_partido_uf)</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Só por UF; texto Latin-1 sem cabeçalho (exceto 1933 e 1934), com bytes do Windows-1252; colunas na ordem do Leia-me (26, 22 e 17); candidatos sem número até os anos 1980; UFs extintas; o arquivo de partido de 1989 não existe. Tratado no DOC-12, seção 3.2, e no ADR-025.</w:t>
            </w:r>
          </w:p>
        </w:tc>
      </w:tr>
    </w:tbl>
    <w:p>
      <w:pPr>
        <w:spacing w:after="120"/>
      </w:pPr>
      <w:r>
        <w:rPr>
          <w:b w:val="false"/>
          <w:bCs w:val="false"/>
          <w:i w:val="false"/>
          <w:iCs w:val="false"/>
        </w:rPr>
        <w:t xml:space="preserve">Limites padrão: 300 requisições por minuto no sistema de resultados (servido por CDN) e 30 nos dados abertos. Os ZIPs (642 MB só a votação de 2022) são baixados com retomada e manifesto (ADR-021).</w:t>
      </w:r>
    </w:p>
    <w:p>
      <w:pPr>
        <w:spacing w:after="120"/>
      </w:pPr>
      <w:r>
        <w:rPr>
          <w:b w:val="false"/>
          <w:bCs w:val="false"/>
          <w:i w:val="false"/>
          <w:iCs w:val="false"/>
        </w:rPr>
        <w:t xml:space="preserve">A prestação de contas de campanha — doações e despesas — é outra fonte, ainda não integrada; é pré-requisito da regra K-01 e segue a cautela abaixo.</w:t>
      </w:r>
    </w:p>
    <w:p>
      <w:pPr>
        <w:pStyle w:val="Heading2"/>
        <w:keepNext/>
        <w:keepLines/>
        <w:spacing w:after="120" w:before="280"/>
      </w:pPr>
      <w:bookmarkStart w:name="_Toc13" w:id="13"/>
      <w:r>
        <w:t xml:space="preserve">2.7 IBGE — localidades, população e malhas</w:t>
      </w:r>
      <w:bookmarkEnd w:id="13"/>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4400"/>
        <w:gridCol w:w="30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Recurso</w:t>
            </w:r>
          </w:p>
        </w:tc>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Uso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Localidades</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servicodados.ibge.gov.br/api/v1/localidades (visão nivelado)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Cadastro de UFs e municípios; 5.571 municípios em outubro de 2026</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População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SIDRA, agregado 6579, variável 9324, último período</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Gasto per capita e grupo de pares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Malhas v3</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servicodados.ibge.gov.br/api/v3/malhas, formato TopoJSON</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Mapa da aba Eleições; código IBGE em codarea</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SIDRA (valores)</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apisidra.ibge.gov.br/values, tabela 6579 (população estimada; n1 e n6) e tabela 4709 (Censo 2022)</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População do país na Economia e de cada município nos governos municipais (ADR-040), com as quebras de método de 2013 e 2024</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SIDRA (valores)</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apisidra.ibge.gov.br/values, tabela 6390, variável 5933</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Rendimento médio real habitual da PNAD Contínua na área Economia, por trimestre móvel; recalculado inteiro a cada divulgação, por isso a série é regravada a cada coleta (ADR-033)</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Notícias v3 (releases)</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servicodados.ibge.gov.br/api/v3/noticias, tipo=release e idproduto</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Releases da Agência de Notícias ao lado do IPCA, do INPC e do PIB na área Economia (ADR-033, adendo de 20/10/2026); data como dd/mm/aaaa hh:mm:ss e link em http</w:t>
            </w:r>
          </w:p>
        </w:tc>
      </w:tr>
    </w:tbl>
    <w:p>
      <w:pPr>
        <w:spacing w:after="120"/>
      </w:pPr>
      <w:r>
        <w:rPr>
          <w:b w:val="false"/>
          <w:bCs w:val="false"/>
          <w:i w:val="false"/>
          <w:iCs w:val="false"/>
        </w:rPr>
        <w:t xml:space="preserve">Sem autenticação. Limite padrão do Lumen: 30 requisições por minuto. A API responde comprimida (Content-Encoding: gzip) mesmo quando o pedido não pede compressão, como o teste de contrato diário mostrou em outubro de 2026; a coleta desfaz a compressão de transporte antes de guardar no bronze e registra a codificação recebida no cabeçalho X-Lumen-Codificacao-Recebida.</w:t>
      </w:r>
    </w:p>
    <w:p>
      <w:pPr>
        <w:pStyle w:val="Heading2"/>
        <w:keepNext/>
        <w:keepLines/>
        <w:spacing w:after="120" w:before="280"/>
      </w:pPr>
      <w:bookmarkStart w:name="_Toc14" w:id="14"/>
      <w:r>
        <w:t xml:space="preserve">2.8 Referência de mercado de fora do governo (regra A-05)</w:t>
      </w:r>
      <w:bookmarkEnd w:id="14"/>
    </w:p>
    <w:p>
      <w:pPr>
        <w:spacing w:after="120"/>
      </w:pPr>
      <w:r>
        <w:rPr>
          <w:b w:val="false"/>
          <w:bCs w:val="false"/>
          <w:i w:val="false"/>
          <w:iCs w:val="false"/>
        </w:rPr>
        <w:t xml:space="preserve">Fontes que não são compras públicas e servem de régua para o preço que o governo pagou (ADR-027). Nenhuma delas é usada para afirmar nada sobre um ente: a regra A-05 roda em modo silencioso até a calibração.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800"/>
        <w:gridCol w:w="36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Formato e comportamento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ANP — série histórica de preços de combustíveis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gov.br/anp/.../dados-abertos/arquivos/shpc/dsas/ca/ca-AAAA-0S.zip (até 2021, .csv; o 1º semestre de 2022 é precos-semestrais-ca.zip)</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CSV com ;, uma linha por posto, produto e semana: UF, município, revenda e CNPJ, produto, data da coleta, valor de venda com vírgula decimal. Arquivo semestral, publicado depois do fim do semestre; desde 2006. Leitura tolerante a nome de coluna, separador e codificação.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ANP — série histórica do gás de cozinha</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gov.br/anp/.../dsas/glp/glp-AAAA-0S.csv, sempre .csv, desde 2004 (2021-1 é precos-semestrais-glp2021-01.csv e 2022-1, precos-semestrais-glp-2022-01.csv)</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Mesmo formato da série de combustíveis, com o preço do botijão de 13 kg (R$ / 13 kg).</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ANP — levantamento das últimas semanas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gov.br/anp/.../precos/levantamento-de-precos-de-combustiveis-ultimas-semanas-pesquisadas; planilhas em arquivos-lpc/AAAA/revendas_lpc_&lt;início&gt;_&lt;fim&gt;.xlsx</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Planilha .xlsx por semana (cerca de 1,8 MB e 20 mil coletas), posto a posto, com combustíveis e GLP: sete linhas de título antes do cabeçalho, CNPJ só com dígitos (às vezes sem o zero à esquerda), UF pelo nome do estado, preço como número e data como número de série do Excel, nomes de produto próprios (GASOLINA COMUM, DIESEL S500). O nome do arquivo não segue padrão fixo (2026-08-30-2026-09-5): os endereços são tirados da página, que em outubro de 2026 citava 192 semanas, de setembro de 2022 em diante. Lida sem dependências (lumen_mercado/xlsx.py).</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Mercado Livre — busca</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api.mercadolibre.com/sites/MLB/search?q=…</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JSON com results (id, title, price, currency_id, condition, permalink, seller, shipping). API oficial; sem credencial responde 403 (visto em 9/10/2026), e o token vem de LUMEN_ML_TOKEN. Só o preço de hoje: coleta diária guardada no bronze.</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Notas fiscais ao consumidor (Menor Preço/PR, Preço da Hora/BA)</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menorpreco.notaparana.pr.gov.br; precodahora.ba.gov.br</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Preço de venda real por código de barras e lugar; sem API pública. Pedido de acesso pela Lei de Acesso à Informação, a fazer.</w:t>
            </w:r>
          </w:p>
        </w:tc>
      </w:tr>
    </w:tbl>
    <w:p>
      <w:pPr>
        <w:spacing w:after="120"/>
      </w:pPr>
      <w:r>
        <w:rPr>
          <w:b w:val="false"/>
          <w:bCs w:val="false"/>
          <w:i w:val="false"/>
          <w:iCs w:val="false"/>
        </w:rPr>
        <w:t xml:space="preserve">Fora por decisão: Magazine Luiza, KaBuM, Pichau e comparadores de preço (Zoom, Buscapé) não têm API pública de preços, e extrair o site contraria os termos de uso e as barreiras contra robôs (seção 5). Amazon (Creators API), AliExpress e Shopee (programas de afiliados) entram quando houver credencial.</w:t>
      </w:r>
    </w:p>
    <w:p>
      <w:pPr>
        <w:spacing w:after="120"/>
      </w:pPr>
      <w:r>
        <w:rPr>
          <w:b w:val="false"/>
          <w:bCs w:val="false"/>
          <w:i w:val="false"/>
          <w:iCs w:val="false"/>
        </w:rPr>
        <w:t xml:space="preserve">Limites padrão: 10 requisições por minuto na ANP (arquivos grandes, poucas requisições) e 30 no varejo.</w:t>
      </w:r>
    </w:p>
    <w:p>
      <w:r>
        <w:br w:type="page"/>
      </w:r>
    </w:p>
    <w:p>
      <w:pPr>
        <w:pStyle w:val="Heading1"/>
        <w:keepNext/>
        <w:keepLines/>
        <w:spacing w:after="160" w:before="380"/>
      </w:pPr>
      <w:bookmarkStart w:name="_Toc15" w:id="15"/>
      <w:r>
        <w:t xml:space="preserve">3. Camada 2 — Estados e tribunais de contas</w:t>
      </w:r>
      <w:bookmarkEnd w:id="15"/>
    </w:p>
    <w:p>
      <w:pPr>
        <w:spacing w:after="120"/>
      </w:pPr>
      <w:r>
        <w:rPr>
          <w:b w:val="false"/>
          <w:bCs w:val="false"/>
          <w:i w:val="false"/>
          <w:iCs w:val="false"/>
        </w:rPr>
        <w:t xml:space="preserve">As 27 unidades federativas possuem portais próprios com maturidade desigual. Os tribunais de contas estaduais, por sua vez, concentram dados dos municípios de sua jurisdição, o que os torna atalhos valiosos: integrar um TCE pode significar cobrir centenas de municípios com detalhe superior ao disponível nas bases federais.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1800"/>
        <w:gridCol w:w="52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Tipo de fonte</w:t>
            </w:r>
          </w:p>
        </w:tc>
        <w:tc>
          <w:tcPr>
            <w:tcW w:type="dxa" w:w="1800"/>
            <w:shd w:fill="1F3864" w:val="clear"/>
            <w:tcMar>
              <w:top w:type="dxa" w:w="80"/>
              <w:left w:type="dxa" w:w="110"/>
              <w:bottom w:type="dxa" w:w="80"/>
              <w:right w:type="dxa" w:w="110"/>
            </w:tcMar>
            <w:vAlign w:val="center"/>
          </w:tcPr>
          <w:p>
            <w:pPr>
              <w:spacing w:after="0"/>
            </w:pPr>
            <w:r>
              <w:rPr>
                <w:b/>
                <w:bCs/>
                <w:color w:val="FFFFFF"/>
                <w:sz w:val="19"/>
                <w:szCs w:val="19"/>
              </w:rPr>
              <w:t xml:space="preserve">Quantidade</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Estratégia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Portal estadual do Executivo</w:t>
            </w:r>
          </w:p>
        </w:tc>
        <w:tc>
          <w:tcPr>
            <w:tcW w:type="dxa" w:w="1800"/>
            <w:shd w:fill="FFFFFF" w:val="clear"/>
            <w:tcMar>
              <w:top w:type="dxa" w:w="70"/>
              <w:left w:type="dxa" w:w="110"/>
              <w:bottom w:type="dxa" w:w="70"/>
              <w:right w:type="dxa" w:w="110"/>
            </w:tcMar>
            <w:vAlign w:val="center"/>
          </w:tcPr>
          <w:p>
            <w:pPr>
              <w:spacing w:after="0"/>
            </w:pPr>
            <w:r>
              <w:rPr>
                <w:b w:val="false"/>
                <w:bCs w:val="false"/>
                <w:sz w:val="19"/>
                <w:szCs w:val="19"/>
              </w:rPr>
              <w:t xml:space="preserve">27</w:t>
            </w:r>
          </w:p>
        </w:tc>
        <w:tc>
          <w:tcPr>
            <w:tcW w:type="dxa" w:w="5200"/>
            <w:shd w:fill="FFFFFF" w:val="clear"/>
            <w:tcMar>
              <w:top w:type="dxa" w:w="70"/>
              <w:left w:type="dxa" w:w="110"/>
              <w:bottom w:type="dxa" w:w="70"/>
              <w:right w:type="dxa" w:w="110"/>
            </w:tcMar>
            <w:vAlign w:val="center"/>
          </w:tcPr>
          <w:p>
            <w:pPr>
              <w:spacing w:after="0"/>
            </w:pPr>
            <w:r>
              <w:rPr>
                <w:b w:val="false"/>
                <w:bCs w:val="false"/>
                <w:sz w:val="19"/>
                <w:szCs w:val="19"/>
              </w:rPr>
              <w:t xml:space="preserve">Conector declarativo quando houver dado estruturado; API quando existir</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Tribunal de Contas do Estado</w:t>
            </w:r>
          </w:p>
        </w:tc>
        <w:tc>
          <w:tcPr>
            <w:tcW w:type="dxa" w:w="1800"/>
            <w:shd w:fill="F2F2F2" w:val="clear"/>
            <w:tcMar>
              <w:top w:type="dxa" w:w="70"/>
              <w:left w:type="dxa" w:w="110"/>
              <w:bottom w:type="dxa" w:w="70"/>
              <w:right w:type="dxa" w:w="110"/>
            </w:tcMar>
            <w:vAlign w:val="center"/>
          </w:tcPr>
          <w:p>
            <w:pPr>
              <w:spacing w:after="0"/>
            </w:pPr>
            <w:r>
              <w:rPr>
                <w:b w:val="false"/>
                <w:bCs w:val="false"/>
                <w:sz w:val="19"/>
                <w:szCs w:val="19"/>
              </w:rPr>
              <w:t xml:space="preserve">26 mais o do DF</w:t>
            </w:r>
          </w:p>
        </w:tc>
        <w:tc>
          <w:tcPr>
            <w:tcW w:type="dxa" w:w="5200"/>
            <w:shd w:fill="F2F2F2" w:val="clear"/>
            <w:tcMar>
              <w:top w:type="dxa" w:w="70"/>
              <w:left w:type="dxa" w:w="110"/>
              <w:bottom w:type="dxa" w:w="70"/>
              <w:right w:type="dxa" w:w="110"/>
            </w:tcMar>
            <w:vAlign w:val="center"/>
          </w:tcPr>
          <w:p>
            <w:pPr>
              <w:spacing w:after="0"/>
            </w:pPr>
            <w:r>
              <w:rPr>
                <w:b w:val="false"/>
                <w:bCs w:val="false"/>
                <w:sz w:val="19"/>
                <w:szCs w:val="19"/>
              </w:rPr>
              <w:t xml:space="preserve">Prioridade alta; cobre municípios da jurisdição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Tribunal de Contas dos Municípios</w:t>
            </w:r>
          </w:p>
        </w:tc>
        <w:tc>
          <w:tcPr>
            <w:tcW w:type="dxa" w:w="1800"/>
            <w:shd w:fill="FFFFFF" w:val="clear"/>
            <w:tcMar>
              <w:top w:type="dxa" w:w="70"/>
              <w:left w:type="dxa" w:w="110"/>
              <w:bottom w:type="dxa" w:w="70"/>
              <w:right w:type="dxa" w:w="110"/>
            </w:tcMar>
            <w:vAlign w:val="center"/>
          </w:tcPr>
          <w:p>
            <w:pPr>
              <w:spacing w:after="0"/>
            </w:pPr>
            <w:r>
              <w:rPr>
                <w:b w:val="false"/>
                <w:bCs w:val="false"/>
                <w:sz w:val="19"/>
                <w:szCs w:val="19"/>
              </w:rPr>
              <w:t xml:space="preserve">Existente em alguns estados</w:t>
            </w:r>
          </w:p>
        </w:tc>
        <w:tc>
          <w:tcPr>
            <w:tcW w:type="dxa" w:w="5200"/>
            <w:shd w:fill="FFFFFF" w:val="clear"/>
            <w:tcMar>
              <w:top w:type="dxa" w:w="70"/>
              <w:left w:type="dxa" w:w="110"/>
              <w:bottom w:type="dxa" w:w="70"/>
              <w:right w:type="dxa" w:w="110"/>
            </w:tcMar>
            <w:vAlign w:val="center"/>
          </w:tcPr>
          <w:p>
            <w:pPr>
              <w:spacing w:after="0"/>
            </w:pPr>
            <w:r>
              <w:rPr>
                <w:b w:val="false"/>
                <w:bCs w:val="false"/>
                <w:sz w:val="19"/>
                <w:szCs w:val="19"/>
              </w:rPr>
              <w:t xml:space="preserve">Prioridade alta onde existir</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Assembleias legislativas</w:t>
            </w:r>
          </w:p>
        </w:tc>
        <w:tc>
          <w:tcPr>
            <w:tcW w:type="dxa" w:w="1800"/>
            <w:shd w:fill="F2F2F2" w:val="clear"/>
            <w:tcMar>
              <w:top w:type="dxa" w:w="70"/>
              <w:left w:type="dxa" w:w="110"/>
              <w:bottom w:type="dxa" w:w="70"/>
              <w:right w:type="dxa" w:w="110"/>
            </w:tcMar>
            <w:vAlign w:val="center"/>
          </w:tcPr>
          <w:p>
            <w:pPr>
              <w:spacing w:after="0"/>
            </w:pPr>
            <w:r>
              <w:rPr>
                <w:b w:val="false"/>
                <w:bCs w:val="false"/>
                <w:sz w:val="19"/>
                <w:szCs w:val="19"/>
              </w:rPr>
              <w:t xml:space="preserve">27</w:t>
            </w:r>
          </w:p>
        </w:tc>
        <w:tc>
          <w:tcPr>
            <w:tcW w:type="dxa" w:w="5200"/>
            <w:shd w:fill="F2F2F2" w:val="clear"/>
            <w:tcMar>
              <w:top w:type="dxa" w:w="70"/>
              <w:left w:type="dxa" w:w="110"/>
              <w:bottom w:type="dxa" w:w="70"/>
              <w:right w:type="dxa" w:w="110"/>
            </w:tcMar>
            <w:vAlign w:val="center"/>
          </w:tcPr>
          <w:p>
            <w:pPr>
              <w:spacing w:after="0"/>
            </w:pPr>
            <w:r>
              <w:rPr>
                <w:b w:val="false"/>
                <w:bCs w:val="false"/>
                <w:sz w:val="19"/>
                <w:szCs w:val="19"/>
              </w:rPr>
              <w:t xml:space="preserve">Prioridade baixa na versão 1.0</w:t>
            </w:r>
          </w:p>
        </w:tc>
      </w:tr>
    </w:tbl>
    <w:p>
      <w:pPr>
        <w:spacing w:after="120"/>
      </w:pPr>
      <w:r>
        <w:rPr>
          <w:b w:val="false"/>
          <w:bCs w:val="false"/>
          <w:i w:val="false"/>
          <w:iCs w:val="false"/>
        </w:rPr>
        <w:t xml:space="preserve">A ordem de ataque dentro da camada 2 é definida por um critério simples: número de municípios cobertos por integração construída. Tribunais de contas com dados abertos consolidados vêm primeiro; portais estaduais isolados vêm por último.</w:t>
      </w:r>
    </w:p>
    <w:p>
      <w:pPr>
        <w:pStyle w:val="Heading1"/>
        <w:keepNext/>
        <w:keepLines/>
        <w:spacing w:after="160" w:before="380"/>
      </w:pPr>
      <w:bookmarkStart w:name="_Toc16" w:id="16"/>
      <w:r>
        <w:t xml:space="preserve">4. Camada 3 — Municípios</w:t>
      </w:r>
      <w:bookmarkEnd w:id="16"/>
    </w:p>
    <w:p>
      <w:pPr>
        <w:pStyle w:val="Heading2"/>
        <w:keepNext/>
        <w:keepLines/>
        <w:spacing w:after="120" w:before="280"/>
      </w:pPr>
      <w:bookmarkStart w:name="_Toc17" w:id="17"/>
      <w:r>
        <w:t xml:space="preserve">4.1 Abordagem por família de plataforma</w:t>
      </w:r>
      <w:bookmarkEnd w:id="17"/>
    </w:p>
    <w:p>
      <w:pPr>
        <w:spacing w:after="120"/>
      </w:pPr>
      <w:r>
        <w:rPr>
          <w:b w:val="false"/>
          <w:bCs w:val="false"/>
          <w:i w:val="false"/>
          <w:iCs w:val="false"/>
        </w:rPr>
        <w:t xml:space="preserve">Municípios brasileiros majoritariamente contratam seus portais de transparência de fornecedores especializados de software de gestão pública. Portais da mesma família compartilham estrutura de URL, organização de páginas e formato de exportação. Isso permite escrever um conector por família, e não por município.</w:t>
      </w:r>
    </w:p>
    <w:p>
      <w:pPr>
        <w:pStyle w:val="ListParagraph"/>
        <w:numPr>
          <w:ilvl w:val="0"/>
          <w:numId w:val="2"/>
        </w:numPr>
        <w:spacing w:after="70"/>
      </w:pPr>
      <w:r>
        <w:t xml:space="preserve">Levantar, para uma amostra representativa de municípios, qual plataforma cada um utiliza, identificando-a por assinaturas técnicas da página.</w:t>
      </w:r>
    </w:p>
    <w:p>
      <w:pPr>
        <w:pStyle w:val="ListParagraph"/>
        <w:numPr>
          <w:ilvl w:val="0"/>
          <w:numId w:val="2"/>
        </w:numPr>
        <w:spacing w:after="70"/>
      </w:pPr>
      <w:r>
        <w:t xml:space="preserve">Ordenar as famílias por número de municípios atendidos.</w:t>
      </w:r>
    </w:p>
    <w:p>
      <w:pPr>
        <w:pStyle w:val="ListParagraph"/>
        <w:numPr>
          <w:ilvl w:val="0"/>
          <w:numId w:val="2"/>
        </w:numPr>
        <w:spacing w:after="70"/>
      </w:pPr>
      <w:r>
        <w:t xml:space="preserve">Construir um conector por família, começando pela de maior alcance.</w:t>
      </w:r>
    </w:p>
    <w:p>
      <w:pPr>
        <w:pStyle w:val="ListParagraph"/>
        <w:numPr>
          <w:ilvl w:val="0"/>
          <w:numId w:val="2"/>
        </w:numPr>
        <w:spacing w:after="70"/>
      </w:pPr>
      <w:r>
        <w:t xml:space="preserve">Validar o conector em amostra aleatória de municípios daquela família antes de liberar para o restante.</w:t>
      </w: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Premissa a validar antes de investir na camada 3</w:t>
            </w:r>
          </w:p>
          <w:p>
            <w:pPr>
              <w:spacing w:after="70"/>
            </w:pPr>
            <w:r>
              <w:t xml:space="preserve">A hipótese de concentração em poucas famílias de plataforma é plausível e amplamente observada na prática, mas o projeto não deve assumi-la sem medição. O levantamento descrito acima é a primeira atividade da fase 4 justamente para confirmar, com dados, quantos municípios cada conector realmente cobriria — e recalibrar o plano caso a concentração seja menor que a esperada.</w:t>
            </w:r>
          </w:p>
        </w:tc>
      </w:tr>
    </w:tbl>
    <w:p>
      <w:pPr>
        <w:pStyle w:val="Heading2"/>
        <w:keepNext/>
        <w:keepLines/>
        <w:spacing w:after="120" w:before="280"/>
      </w:pPr>
      <w:bookmarkStart w:name="_Toc18" w:id="18"/>
      <w:r>
        <w:t xml:space="preserve">4.2 Cauda longa</w:t>
      </w:r>
      <w:bookmarkEnd w:id="18"/>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600"/>
        <w:gridCol w:w="6000"/>
      </w:tblGrid>
      <w:tr>
        <w:trPr>
          <w:tblHeader/>
        </w:trPr>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Situação encontrada</w:t>
            </w:r>
          </w:p>
        </w:tc>
        <w:tc>
          <w:tcPr>
            <w:tcW w:type="dxa" w:w="6000"/>
            <w:shd w:fill="1F3864" w:val="clear"/>
            <w:tcMar>
              <w:top w:type="dxa" w:w="80"/>
              <w:left w:type="dxa" w:w="110"/>
              <w:bottom w:type="dxa" w:w="80"/>
              <w:right w:type="dxa" w:w="110"/>
            </w:tcMar>
            <w:vAlign w:val="center"/>
          </w:tcPr>
          <w:p>
            <w:pPr>
              <w:spacing w:after="0"/>
            </w:pPr>
            <w:r>
              <w:rPr>
                <w:b/>
                <w:bCs/>
                <w:color w:val="FFFFFF"/>
                <w:sz w:val="19"/>
                <w:szCs w:val="19"/>
              </w:rPr>
              <w:t xml:space="preserve">Tratamento</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Portal com exportação estruturada</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Conector declarativo padrão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Portal só com tabelas em HTML</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Conector declarativo com seletores de tabela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Publicação apenas em PDF com texto</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Extração estruturada de PDF</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Publicação em PDF digitalizado</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OCR seguido de extração, com marcação de confiança reduzida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Publicação em planilhas</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Leitor de planilha com mapeamento declarativo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Nenhuma publicação localizável</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Pedido formal de acesso à informação e registro de não conformidade</w:t>
            </w:r>
          </w:p>
        </w:tc>
      </w:tr>
    </w:tbl>
    <w:p>
      <w:pPr>
        <w:pStyle w:val="Heading2"/>
        <w:keepNext/>
        <w:keepLines/>
        <w:spacing w:after="120" w:before="280"/>
      </w:pPr>
      <w:bookmarkStart w:name="_Toc19" w:id="19"/>
      <w:r>
        <w:t xml:space="preserve">4.3 Especificação declarativa de fonte</w:t>
      </w:r>
      <w:bookmarkEnd w:id="19"/>
    </w:p>
    <w:p>
      <w:pPr>
        <w:spacing w:after="120"/>
      </w:pPr>
      <w:r>
        <w:rPr>
          <w:b w:val="false"/>
          <w:bCs w:val="false"/>
          <w:i w:val="false"/>
          <w:iCs w:val="false"/>
        </w:rPr>
        <w:t xml:space="preserve">Cadastrar uma fonte é escrever uma especificação, não código. O exemplo abaixo ilustra o formato para um portal municipal que publica contratos em tabela HTML paginada.</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fonte: sp_exemplo_municipio_contratos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ente: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codigo_ibge: "3500000"</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esfera: municipal</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conector: declarativo_html</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objeto_canonico: Contrato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periodicidade: diaria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acesso: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url_base: "https://transparencia.exemplo.sp.gov.br/contratos"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paginacao: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tipo: parametro_query</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parametro: "pagina"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inicio: 1</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limite_taxa: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requisicoes_por_minuto: 20      # conservador por padrao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extracao: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seletor_linhas: "table#contratos tbody tr"</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campos: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numero:            { seletor: "td:nth-child(1)"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fornecedor_cnpj:   { seletor: "td:nth-child(2)", transformar: [somente_digitos]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objeto:            { seletor: "td:nth-child(3)"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valor_inicial:     { seletor: "td:nth-child(4)", transformar: [moeda_br]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data_assinatura:   { seletor: "td:nth-child(5)", transformar: [data_br]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documento_detalhe: { seletor: "td:nth-child(6) a", atributo: "href"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qualidade: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obrigatorios: [numero, objeto, valor_inicial, data_assinatura]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validacoes: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 campo: fornecedor_cnpj</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regra: cnpj_valido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ao_falhar: quarentena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conformidade: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 o que a lei exige e esta fonte NAO oferece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campos_ausentes: [amparo_legal, agente_autorizador]</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dispositivo: "Lei 14.133/2021, art. 174"</w:t>
            </w:r>
          </w:p>
        </w:tc>
      </w:tr>
    </w:tbl>
    <w:p>
      <w:pPr>
        <w:spacing w:after="120"/>
      </w:pPr>
      <w:r>
        <w:rPr>
          <w:b w:val="false"/>
          <w:bCs w:val="false"/>
          <w:i w:val="false"/>
          <w:iCs w:val="false"/>
        </w:rPr>
        <w:t xml:space="preserve">O bloco de conformidade merece atenção: ele declara, no próprio cadastro da fonte, quais informações legalmente exigidas aquele portal não publica. Essa declaração vira insumo automático do índice de conformidade do ente, sem trabalho adicional.</w:t>
      </w:r>
    </w:p>
    <w:p>
      <w:r>
        <w:br w:type="page"/>
      </w:r>
    </w:p>
    <w:p>
      <w:pPr>
        <w:pStyle w:val="Heading1"/>
        <w:keepNext/>
        <w:keepLines/>
        <w:spacing w:after="160" w:before="380"/>
      </w:pPr>
      <w:bookmarkStart w:name="_Toc20" w:id="20"/>
      <w:r>
        <w:t xml:space="preserve">5. Política de coleta responsável</w:t>
      </w:r>
      <w:bookmarkEnd w:id="20"/>
    </w:p>
    <w:p>
      <w:pPr>
        <w:spacing w:after="120"/>
      </w:pPr>
      <w:r>
        <w:rPr>
          <w:b w:val="false"/>
          <w:bCs w:val="false"/>
          <w:i w:val="false"/>
          <w:iCs w:val="false"/>
        </w:rPr>
        <w:t xml:space="preserve">O Lumen depende da boa saúde dos serviços públicos que consulta. Degradar um portal de transparência para coletar dados seria contraditório com o propósito do projeto.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Regra</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Detalhamento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Identificação</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User-Agent próprio com nome do projeto, versão e endereço de contato em toda requisição</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Preferência por API</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Raspagem só quando não existir API ou exportação estruturada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Vazão conservadora</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Padrão baixo por fonte; aumento só com evidência de que a fonte suporta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Janela preferencial</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Coletas volumosas em horário de menor uso quando a fonte publicar essa informação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Coleta incremental</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Uso de endpoints por data de atualização em vez de varredura completa recorrente</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Recuo em erro</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Espera exponencial e suspensão temporária da fonte após falhas sucessivas</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Limite da fonte (429)</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Resposta 429 reduz a vazão da fonte pela metade pelo resto da sessão e espera ao menos 30 s antes de repetir; só conta como falha quando a última tentativa também recebe 429. O PNCP respondeu 429 a 60 requisições por minuto a partir do GitHub Actions em outubro de 2026</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Compressão de transporte</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Resposta com Content-Encoding gzip ou deflate é descomprimida antes do bronze, com o limite de tamanho aplicado ao documento descomprimido (a API do IBGE comprime mesmo sem pedido)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Respeito a robots</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Observância das diretrizes publicadas pelo domínio</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Sem contorno de controle</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Nenhuma tentativa de resolver CAPTCHA, burlar autenticação ou acessar área restrita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Cache agressivo</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Artefato já coletado e inalterado não é rebaixado novamente</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Requisição condicional</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If-Modified-Since onde a fonte aceita: o que não mudou volta 304, sem corpo (TSE)</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Arquivo grande retomável</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Range e If-Range: queda de conexão continua de onde parou, sem rebaixar gigabytes (ADR-021)</w:t>
            </w:r>
          </w:p>
        </w:tc>
      </w:tr>
    </w:tbl>
    <w:p>
      <w:pPr>
        <w:pStyle w:val="Heading1"/>
        <w:keepNext/>
        <w:keepLines/>
        <w:spacing w:after="160" w:before="380"/>
      </w:pPr>
      <w:bookmarkStart w:name="_Toc21" w:id="21"/>
      <w:r>
        <w:t xml:space="preserve">6. Matriz de cobertura esperada por fase</w:t>
      </w:r>
      <w:bookmarkEnd w:id="21"/>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300"/>
        <w:gridCol w:w="4300"/>
        <w:gridCol w:w="4000"/>
      </w:tblGrid>
      <w:tr>
        <w:trPr>
          <w:tblHeader/>
        </w:trPr>
        <w:tc>
          <w:tcPr>
            <w:tcW w:type="dxa" w:w="1300"/>
            <w:shd w:fill="1F3864" w:val="clear"/>
            <w:tcMar>
              <w:top w:type="dxa" w:w="80"/>
              <w:left w:type="dxa" w:w="110"/>
              <w:bottom w:type="dxa" w:w="80"/>
              <w:right w:type="dxa" w:w="110"/>
            </w:tcMar>
            <w:vAlign w:val="center"/>
          </w:tcPr>
          <w:p>
            <w:pPr>
              <w:spacing w:after="0"/>
            </w:pPr>
            <w:r>
              <w:rPr>
                <w:b/>
                <w:bCs/>
                <w:color w:val="FFFFFF"/>
                <w:sz w:val="19"/>
                <w:szCs w:val="19"/>
              </w:rPr>
              <w:t xml:space="preserve">Fase</w:t>
            </w:r>
          </w:p>
        </w:tc>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Fontes integradas</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Cobertura resultante</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1</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PNCP, SICONFI, CGU, Receita Federal, IBGE</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e dados fiscais de alcance nacional, limitados ao que os entes efetivamente enviam</w:t>
            </w:r>
          </w:p>
        </w:tc>
      </w:tr>
      <w:tr>
        <w:trPr>
          <w:cantSplit/>
        </w:trPr>
        <w:tc>
          <w:tcPr>
            <w:tcW w:type="dxa" w:w="1300"/>
            <w:shd w:fill="F2F2F2" w:val="clear"/>
            <w:tcMar>
              <w:top w:type="dxa" w:w="70"/>
              <w:left w:type="dxa" w:w="110"/>
              <w:bottom w:type="dxa" w:w="70"/>
              <w:right w:type="dxa" w:w="110"/>
            </w:tcMar>
            <w:vAlign w:val="center"/>
          </w:tcPr>
          <w:p>
            <w:pPr>
              <w:spacing w:after="0"/>
            </w:pPr>
            <w:r>
              <w:rPr>
                <w:b w:val="false"/>
                <w:bCs w:val="false"/>
                <w:sz w:val="19"/>
                <w:szCs w:val="19"/>
              </w:rPr>
              <w:t xml:space="preserve">Fase 2</w:t>
            </w:r>
          </w:p>
        </w:tc>
        <w:tc>
          <w:tcPr>
            <w:tcW w:type="dxa" w:w="4300"/>
            <w:shd w:fill="F2F2F2" w:val="clear"/>
            <w:tcMar>
              <w:top w:type="dxa" w:w="70"/>
              <w:left w:type="dxa" w:w="110"/>
              <w:bottom w:type="dxa" w:w="70"/>
              <w:right w:type="dxa" w:w="110"/>
            </w:tcMar>
            <w:vAlign w:val="center"/>
          </w:tcPr>
          <w:p>
            <w:pPr>
              <w:spacing w:after="0"/>
            </w:pPr>
            <w:r>
              <w:rPr>
                <w:b w:val="false"/>
                <w:bCs w:val="false"/>
                <w:sz w:val="19"/>
                <w:szCs w:val="19"/>
              </w:rPr>
              <w:t xml:space="preserve">Compras.gov (catálogos e preços de referência)</w:t>
            </w:r>
          </w:p>
        </w:tc>
        <w:tc>
          <w:tcPr>
            <w:tcW w:type="dxa" w:w="4000"/>
            <w:shd w:fill="F2F2F2" w:val="clear"/>
            <w:tcMar>
              <w:top w:type="dxa" w:w="70"/>
              <w:left w:type="dxa" w:w="110"/>
              <w:bottom w:type="dxa" w:w="70"/>
              <w:right w:type="dxa" w:w="110"/>
            </w:tcMar>
            <w:vAlign w:val="center"/>
          </w:tcPr>
          <w:p>
            <w:pPr>
              <w:spacing w:after="0"/>
            </w:pPr>
            <w:r>
              <w:rPr>
                <w:b w:val="false"/>
                <w:bCs w:val="false"/>
                <w:sz w:val="19"/>
                <w:szCs w:val="19"/>
              </w:rPr>
              <w:t xml:space="preserve">Normalização de itens e linha de base de preço, habilitando as regras de sobrepreço</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3</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27 estados e tribunais de contas</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Detalhamento estadual e cobertura indireta de municípios via jurisdição dos tribunais</w:t>
            </w:r>
          </w:p>
        </w:tc>
      </w:tr>
      <w:tr>
        <w:trPr>
          <w:cantSplit/>
        </w:trPr>
        <w:tc>
          <w:tcPr>
            <w:tcW w:type="dxa" w:w="1300"/>
            <w:shd w:fill="F2F2F2" w:val="clear"/>
            <w:tcMar>
              <w:top w:type="dxa" w:w="70"/>
              <w:left w:type="dxa" w:w="110"/>
              <w:bottom w:type="dxa" w:w="70"/>
              <w:right w:type="dxa" w:w="110"/>
            </w:tcMar>
            <w:vAlign w:val="center"/>
          </w:tcPr>
          <w:p>
            <w:pPr>
              <w:spacing w:after="0"/>
            </w:pPr>
            <w:r>
              <w:rPr>
                <w:b w:val="false"/>
                <w:bCs w:val="false"/>
                <w:sz w:val="19"/>
                <w:szCs w:val="19"/>
              </w:rPr>
              <w:t xml:space="preserve">Fase 4</w:t>
            </w:r>
          </w:p>
        </w:tc>
        <w:tc>
          <w:tcPr>
            <w:tcW w:type="dxa" w:w="4300"/>
            <w:shd w:fill="F2F2F2" w:val="clear"/>
            <w:tcMar>
              <w:top w:type="dxa" w:w="70"/>
              <w:left w:type="dxa" w:w="110"/>
              <w:bottom w:type="dxa" w:w="70"/>
              <w:right w:type="dxa" w:w="110"/>
            </w:tcMar>
            <w:vAlign w:val="center"/>
          </w:tcPr>
          <w:p>
            <w:pPr>
              <w:spacing w:after="0"/>
            </w:pPr>
            <w:r>
              <w:rPr>
                <w:b w:val="false"/>
                <w:bCs w:val="false"/>
                <w:sz w:val="19"/>
                <w:szCs w:val="19"/>
              </w:rPr>
              <w:t xml:space="preserve">Famílias de plataforma municipal e cauda longa</w:t>
            </w:r>
          </w:p>
        </w:tc>
        <w:tc>
          <w:tcPr>
            <w:tcW w:type="dxa" w:w="4000"/>
            <w:shd w:fill="F2F2F2" w:val="clear"/>
            <w:tcMar>
              <w:top w:type="dxa" w:w="70"/>
              <w:left w:type="dxa" w:w="110"/>
              <w:bottom w:type="dxa" w:w="70"/>
              <w:right w:type="dxa" w:w="110"/>
            </w:tcMar>
            <w:vAlign w:val="center"/>
          </w:tcPr>
          <w:p>
            <w:pPr>
              <w:spacing w:after="0"/>
            </w:pPr>
            <w:r>
              <w:rPr>
                <w:b w:val="false"/>
                <w:bCs w:val="false"/>
                <w:sz w:val="19"/>
                <w:szCs w:val="19"/>
              </w:rPr>
              <w:t xml:space="preserve">Preenchimento de lacunas e detalhe local não disponível nas bases federais</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5</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Consolidação e reavaliação</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Índice de conformidade publicado para todos os entes cadastrados</w:t>
            </w:r>
          </w:p>
        </w:tc>
      </w:tr>
    </w:tbl>
    <w:p>
      <w:pPr>
        <w:pStyle w:val="Heading1"/>
        <w:keepNext/>
        <w:keepLines/>
        <w:spacing w:after="160" w:before="380"/>
      </w:pPr>
      <w:bookmarkStart w:name="_Toc22" w:id="22"/>
      <w:r>
        <w:t xml:space="preserve">7. Situação da integração (outubro de 2026)</w:t>
      </w:r>
      <w:bookmarkEnd w:id="22"/>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2400"/>
        <w:gridCol w:w="4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Situação</w:t>
            </w:r>
          </w:p>
        </w:tc>
        <w:tc>
          <w:tcPr>
            <w:tcW w:type="dxa" w:w="4200"/>
            <w:shd w:fill="1F3864" w:val="clear"/>
            <w:tcMar>
              <w:top w:type="dxa" w:w="80"/>
              <w:left w:type="dxa" w:w="110"/>
              <w:bottom w:type="dxa" w:w="80"/>
              <w:right w:type="dxa" w:w="110"/>
            </w:tcMar>
            <w:vAlign w:val="center"/>
          </w:tcPr>
          <w:p>
            <w:pPr>
              <w:spacing w:after="0"/>
            </w:pPr>
            <w:r>
              <w:rPr>
                <w:b/>
                <w:bCs/>
                <w:color w:val="FFFFFF"/>
                <w:sz w:val="19"/>
                <w:szCs w:val="19"/>
              </w:rPr>
              <w:t xml:space="preserve">Observação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PNCP — contratações, contratos e atas (publicação e atualização)</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Coleta, bronze e normalização para a silver no pipeline padrão</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PNCP — itens e resultados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Integrado sob demanda</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lumen coletar pncp_itens --objeto busca os itens só dos processos da silver que interessam (regra A-05)</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SICONFI — entes e extrato de entregas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Base do cadastro e da conformidade (família I)</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SICONFI — RREO, RGF e DCA</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Conector e normalização prontos (LinhaDemonstrativo)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RCL de todos os entes (Anexo 03 do RREO) e despesa por função de todos os entes (Anexo I-E da DCA, ADR-041), coletadas todo dia, só as que faltam; demais anexos sob demanda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IBGE — localidades e população</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Cadastro de entes, população aplicada aos municípios</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IBGE — malhas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Integrado (aba Eleições)</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Mapa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TSE — resultados e dados abertos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 (aba Eleições)</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DOC-12</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Portal da Transparência (CGU)</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CEIS, CNEP e CEPIM em uso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Pelos arquivos de dados abertos, sem chave (ADR-030); despesas, convênios e emendas pendentes</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Receita Federal — CNPJ</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Arquivos completos; base da família D</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TSE — prestação de contas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Pré-requisito da K-01; revisão editorial antes de qualquer uso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ANP — preços de combustíveis e GLP</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 (regra A-05)</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Série semestral (ca e glp) e planilhas semanais; formato real conferido na primeira execução do fluxo mercado-referencia (9/10/2026), sem linha descartada</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Mercado Livre — busca</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Conector pronto, a validar</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Formato e acesso conferidos pela primeira coleta real e pelo teste de contrato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Notas fiscais ao consumidor (estados)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Pedido pela Lei de Acesso à Informação</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Compras.gov.br, estados, tribunais de contas, municípios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Planejado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Fases 2 a 4, conforme a seção 6</w:t>
            </w:r>
          </w:p>
        </w:tc>
      </w:tr>
    </w:tbl>
    <w:p>
      <w:pPr>
        <w:pStyle w:val="Heading1"/>
        <w:keepNext/>
        <w:keepLines/>
        <w:spacing w:after="160" w:before="380"/>
      </w:pPr>
      <w:bookmarkStart w:name="_Toc23" w:id="23"/>
      <w:r>
        <w:t xml:space="preserve">8. Registro de fontes</w:t>
      </w:r>
      <w:bookmarkEnd w:id="23"/>
    </w:p>
    <w:p>
      <w:pPr>
        <w:spacing w:after="120"/>
      </w:pPr>
      <w:r>
        <w:rPr>
          <w:b w:val="false"/>
          <w:bCs w:val="false"/>
          <w:i w:val="false"/>
          <w:iCs w:val="false"/>
        </w:rPr>
        <w:t xml:space="preserve">Toda fonte cadastrada mantém os metadados abaixo, que alimentam o painel operacional e a avaliação de conformidade.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800"/>
        <w:gridCol w:w="6800"/>
      </w:tblGrid>
      <w:tr>
        <w:trPr>
          <w:tblHeader/>
        </w:trPr>
        <w:tc>
          <w:tcPr>
            <w:tcW w:type="dxa" w:w="2800"/>
            <w:shd w:fill="1F3864" w:val="clear"/>
            <w:tcMar>
              <w:top w:type="dxa" w:w="80"/>
              <w:left w:type="dxa" w:w="110"/>
              <w:bottom w:type="dxa" w:w="80"/>
              <w:right w:type="dxa" w:w="110"/>
            </w:tcMar>
            <w:vAlign w:val="center"/>
          </w:tcPr>
          <w:p>
            <w:pPr>
              <w:spacing w:after="0"/>
            </w:pPr>
            <w:r>
              <w:rPr>
                <w:b/>
                <w:bCs/>
                <w:color w:val="FFFFFF"/>
                <w:sz w:val="19"/>
                <w:szCs w:val="19"/>
              </w:rPr>
              <w:t xml:space="preserve">Metadado</w:t>
            </w:r>
          </w:p>
        </w:tc>
        <w:tc>
          <w:tcPr>
            <w:tcW w:type="dxa" w:w="6800"/>
            <w:shd w:fill="1F3864" w:val="clear"/>
            <w:tcMar>
              <w:top w:type="dxa" w:w="80"/>
              <w:left w:type="dxa" w:w="110"/>
              <w:bottom w:type="dxa" w:w="80"/>
              <w:right w:type="dxa" w:w="110"/>
            </w:tcMar>
            <w:vAlign w:val="center"/>
          </w:tcPr>
          <w:p>
            <w:pPr>
              <w:spacing w:after="0"/>
            </w:pPr>
            <w:r>
              <w:rPr>
                <w:b/>
                <w:bCs/>
                <w:color w:val="FFFFFF"/>
                <w:sz w:val="19"/>
                <w:szCs w:val="19"/>
              </w:rPr>
              <w:t xml:space="preserve">Finalidade</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Identificador e ente vinculado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Associar dados coletados ao ente correto</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Tipo de conector</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Determinar o adaptador que executa a coleta</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Objetos canônicos fornecidos</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Saber o que esperar da fonte e o que falta</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Periodicidade e janela</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Agendamento e detecção de atraso</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Limite de taxa acordado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Controle de vazão</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Última coleta bem-sucedida</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Exibição pública da atualidade do dado</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Histórico de falhas</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Distinguir instabilidade pontual de descontinuidade</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Campos legalmente exigidos ausentes</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Alimentar o índice de conformidade</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Versão da especificação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Reprodutibilidade das coletas passadas</w:t>
            </w:r>
          </w:p>
        </w:tc>
      </w:tr>
    </w:tbl>
    <w:sectPr>
      <w:headerReference w:type="default" r:id="rId6"/>
      <w:footerReference w:type="default" r:id="rId7"/>
      <w:pgSz w:w="11906" w:h="16838" w:orient="portrait"/>
      <w:pgMar w:top="1140" w:right="1134" w:bottom="114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000000"/>
        <w:sz w:val="16"/>
        <w:szCs w:val="16"/>
      </w:rPr>
      <w:t xml:space="preserve">Pagina </w:t>
    </w:r>
    <w:r>
      <w:rPr>
        <w:color w:val="000000"/>
        <w:sz w:val="16"/>
        <w:szCs w:val="16"/>
      </w:rPr>
      <w:fldChar w:fldCharType="begin"/>
      <w:instrText xml:space="preserve">PAGE</w:instrText>
      <w:fldChar w:fldCharType="separate"/>
      <w:fldChar w:fldCharType="end"/>
    </w:r>
    <w:r>
      <w:rPr>
        <w:color w:val="000000"/>
        <w:sz w:val="16"/>
        <w:szCs w:val="16"/>
      </w:rPr>
      <w:t xml:space="preserve"> de </w:t>
    </w:r>
    <w:r>
      <w:rPr>
        <w:color w:val="00000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6"/>
      </w:pBdr>
    </w:pPr>
    <w:r>
      <w:rPr>
        <w:color w:val="000000"/>
        <w:sz w:val="16"/>
        <w:szCs w:val="16"/>
      </w:rPr>
      <w:t xml:space="preserve">Projeto Lumen  |  DOC-06 Catálogo de Fontes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50"/>
      </w:pPr>
    </w:lvl>
    <w:lvl w:ilvl="1" w:tentative="1">
      <w:start w:val="1"/>
      <w:numFmt w:val="bullet"/>
      <w:lvlText w:val="◦"/>
      <w:lvlJc w:val="left"/>
      <w:pPr>
        <w:ind w:left="840" w:hanging="250"/>
      </w:pPr>
    </w:lvl>
    <w:lvl w:ilvl="2" w:tentative="1">
      <w:start w:val="1"/>
      <w:numFmt w:val="bullet"/>
      <w:lvlText w:val="▪"/>
      <w:lvlJc w:val="left"/>
      <w:pPr>
        <w:ind w:left="1260" w:hanging="250"/>
      </w:pPr>
    </w:lvl>
  </w:abstractNum>
  <w:abstractNum w:abstractNumId="3" w15:restartNumberingAfterBreak="0">
    <w:multiLevelType w:val="hybridMultilevel"/>
    <w:lvl w:ilvl="0" w:tentative="1">
      <w:start w:val="1"/>
      <w:numFmt w:val="decimal"/>
      <w:lvlText w:val="%1."/>
      <w:lvlJc w:val="left"/>
      <w:pPr>
        <w:ind w:left="440" w:hanging="280"/>
      </w:pPr>
    </w:lvl>
    <w:lvl w:ilvl="1" w:tentative="1">
      <w:start w:val="1"/>
      <w:numFmt w:val="lowerLetter"/>
      <w:lvlText w:val="%2)"/>
      <w:lvlJc w:val="left"/>
      <w:pPr>
        <w:ind w:left="88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80"/>
    </w:pPr>
    <w:rPr>
      <w:rFonts w:ascii="Calibri Light" w:cs="Calibri Light" w:eastAsia="Calibri Light" w:hAnsi="Calibri Light"/>
      <w:b/>
      <w:bCs/>
      <w:color w:val="000000"/>
      <w:sz w:val="34"/>
      <w:szCs w:val="34"/>
    </w:rPr>
  </w:style>
  <w:style w:type="paragraph" w:styleId="Heading2">
    <w:name w:val="Heading 2"/>
    <w:basedOn w:val="Normal"/>
    <w:next w:val="Normal"/>
    <w:qFormat/>
    <w:pPr>
      <w:spacing w:after="120" w:before="280"/>
    </w:pPr>
    <w:rPr>
      <w:rFonts w:ascii="Calibri Light" w:cs="Calibri Light" w:eastAsia="Calibri Light" w:hAnsi="Calibri Light"/>
      <w:b/>
      <w:bCs/>
      <w:color w:val="000000"/>
      <w:sz w:val="27"/>
      <w:szCs w:val="27"/>
    </w:rPr>
  </w:style>
  <w:style w:type="paragraph" w:styleId="Heading3">
    <w:name w:val="Heading 3"/>
    <w:basedOn w:val="Normal"/>
    <w:next w:val="Normal"/>
    <w:qFormat/>
    <w:pPr>
      <w:spacing w:after="100" w:before="220"/>
    </w:pPr>
    <w:rPr>
      <w:rFonts w:ascii="Calibri" w:cs="Calibri" w:eastAsia="Calibri" w:hAnsi="Calibri"/>
      <w:b/>
      <w:bCs/>
      <w:color w:val="0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DOC-06 - Catálogo de Fontes</dc:title>
  <dc:creator>Projeto Lumen</dc:creator>
  <dc:description>Fontes por esfera, estratégia de cobertura nacional e coleta responsável</dc:description>
  <cp:lastModifiedBy>Un-named</cp:lastModifiedBy>
  <cp:revision>1</cp:revision>
  <dcterms:created xsi:type="dcterms:W3CDTF">2026-10-20T13:45:30.027Z</dcterms:created>
  <dcterms:modified xsi:type="dcterms:W3CDTF">2026-10-20T13:45:30.028Z</dcterms:modified>
</cp:coreProperties>
</file>

<file path=docProps/custom.xml><?xml version="1.0" encoding="utf-8"?>
<Properties xmlns="http://schemas.openxmlformats.org/officeDocument/2006/custom-properties" xmlns:vt="http://schemas.openxmlformats.org/officeDocument/2006/docPropsVTypes"/>
</file>