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ADR-038, o ADR-039 e o ADR-041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4.8 operacao.py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4.9 rcl.py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4.10 despesa_funcao.py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3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4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5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despesa_por_habitante, distribuicoes_de_despesa, despesa_do_ente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despesa: o total e cada função por habitante do ente, com os quartis do grupo (ADR-041)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População do cadastro; distribuição só com 15 entes do grupo com a DCA lida e somando o total; função não executada vale zero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" w:id="13"/>
      <w:r>
        <w:t xml:space="preserve">4.8 operacao.py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" w:id="14"/>
      <w:r>
        <w:t xml:space="preserve">4.9 rcl.py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tipos_pelo_extrato, ordem_de_tentativa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de RREO de cada ente pelo extrato de entregas do 6º bimestre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porte não diz se o ente publica o RREO completo ou o simplificado; o extrato diz. Sem a entrega, o ente não é consultado; sem extrato, vão os dois tipos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rcl)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RCL dos entes pendentes da UF: RREO, Anexo 03, 6º bimestre do exercício anterior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diretório temporário; LinhaDemonstrativo;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ler_rcl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RCL de todas as UFs para a publicação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5" w:id="15"/>
      <w:r>
        <w:t xml:space="preserve">4.10 despesa_funcao.py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exercicio_padrao, entregues_pelo_extrato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último exercício com a DCA no prazo e quem a entregou,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DCA sai até 30/4 (municípios) e 31/5 (estados): o exercício anterior a partir de maio. Quem não tem a DCA no extrato não é consultado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despesa-funcao)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DCA, Anexo I-E,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50; não começa lote novo depois de --limite-minutos (todas as UFs); o lote de uma coleta interrompida continua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despesas_da_silver, confere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e funções (NN - Nome) da despesa liquidada, sem as intraorçamentárias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subfunções ficam de fora; as funções somam o total (tolerância de 1%), e a DCA que não soma fica fora das distribuições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ler_despesas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despesa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6" w:id="16"/>
      <w:r>
        <w:t xml:space="preserve">5. Estado guardado entre execuções</w:t>
      </w:r>
      <w:bookmarkEnd w:id="16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rcl-UF.json.gz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Receita corrente líquida de cada ente da UF no exercício anterior (RREO, Anexo 03),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rcl, demonstrativo,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despesa-funcao-UF.json.gz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liquidada por função de cada ente da UF no último exercício com DCA (Anexo I-E), ou a data da última tentativa sem dado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total, funcoes (código da função → valor), coletado_em ou tentado_em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7" w:id="17"/>
      <w:r>
        <w:t xml:space="preserve">6. Site publicado</w:t>
      </w:r>
      <w:bookmarkEnd w:id="17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ente; o de um estado com os municípios da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contratacoes/orgao/&lt;CNPJ&gt;.json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órgão, com o ente a que pertence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8" w:id="18"/>
      <w:r>
        <w:t xml:space="preserve">7. Regras de soma das contratações</w:t>
      </w:r>
      <w:bookmarkEnd w:id="18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19" w:id="19"/>
      <w:r>
        <w:t xml:space="preserve">8. Avaliação da conformidade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8.1 Comparação com o grupo de pares (ADR-038)</w:t>
      </w:r>
      <w:bookmarkEnd w:id="20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spacing w:after="120"/>
      </w:pPr>
      <w:r>
        <w:t xml:space="preserve">Com a DCA do último exercício (ADR-041), o mesmo cartão mostra a despesa por função por habitante: o valor do ente, a mediana e a metade central do grupo (do 1º ao 3º quartil) e de que lado dela o ente fica. Aparecem o total e as sete funções de maior mediana no grupo, e o resto fica em "ver todas". A tela lista as causas comuns de diferença (equipamento regional que atende vizinhos, classificação por função que varia, população desatualizada, DCA como foi entregue) e liga para a DCA do ente no SICONFI. Sem escore e sem destaque: a marcação é a regra H-01, da Fase 2.</w:t>
      </w:r>
    </w:p>
    <w:p>
      <w:pPr>
        <w:pStyle w:val="Heading1"/>
        <w:keepNext/>
        <w:keepLines/>
        <w:spacing w:after="160" w:before="380"/>
      </w:pPr>
      <w:bookmarkStart w:name="_Toc21" w:id="21"/>
      <w:r>
        <w:t xml:space="preserve">9. Portal</w:t>
      </w:r>
      <w:bookmarkEnd w:id="2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por função por habitante do ente ao lado da mediana e da metade central do grupo, com as ressalvas e o link da DCA (ADR-041)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10. Operação</w:t>
      </w:r>
      <w:bookmarkEnd w:id="2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3" w:id="23"/>
      <w:r>
        <w:t xml:space="preserve">Configuração, uma vez</w:t>
      </w:r>
      <w:bookmarkEnd w:id="23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24" w:id="24"/>
      <w:r>
        <w:t xml:space="preserve">Comandos locais</w:t>
      </w:r>
      <w:bookmarkEnd w:id="24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5" w:id="25"/>
      <w:r>
        <w:t xml:space="preserve">Limites</w:t>
      </w:r>
      <w:bookmarkEnd w:id="25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26" w:id="26"/>
      <w:r>
        <w:t xml:space="preserve">11. Verificação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27" w:id="27"/>
      <w:r>
        <w:t xml:space="preserve">12. Próximos passos e riscos</w:t>
      </w:r>
      <w:bookmarkEnd w:id="2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2026-10-20T13:58:45.839Z</dcterms:created>
  <dcterms:modified xsi:type="dcterms:W3CDTF">2026-10-20T13:58:45.840Z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