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1.7</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20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4. Camada 3 — Municípios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4.1 Abordagem por família de plataforma</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4.2 Cauda longa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4.3 Especificação declarativa de fonte</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5. Política de coleta responsável</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6. Matriz de cobertura esperada por fase</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7. Situação da integração (outubro de 2026)</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8. Registro de fontes</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exige o tipo do demonstrativo: RREO ou RREO Simplificado (municípios com menos de 50 mil habitantes podem optar, LRF art. 63), e cada ente publica só um. O porte não diz qual: em 2025, quase todos os pequenos de Roraima e do Amapá publicaram o completo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tipo vem do extrato de entregas ("Relatório Resumido de Execução Orçamentária" ou "… Simplificado", no 6º bimestre); uma consulta por ente</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A RCL fica no Anexo 03, conta RREO3ReceitaCorrenteLiquida, coluna TOTAL (ÚLTIMOS 12 MESES); a resposta do anexo tem perto de 430 linhas por ente, com valores numéricos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Cada linha vira LinhaDemonstrativo; a RCL do exercício anterior entra nos grupos de pares (ADR-038, versão 2)</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6390, variável 5933</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Rendimento médio real habitual da PNAD Contínua na área Economia, por trimestre móvel; recalculado inteiro a cada divulgação, por isso a série é regravada a cada coleta (ADR-033)</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bookmarkStart w:name="_Toc16" w:id="16"/>
      <w:r>
        <w:t xml:space="preserve">4. Camada 3 — Municípios</w:t>
      </w:r>
      <w:bookmarkEnd w:id="16"/>
    </w:p>
    <w:p>
      <w:pPr>
        <w:pStyle w:val="Heading2"/>
        <w:keepNext/>
        <w:keepLines/>
        <w:spacing w:after="120" w:before="280"/>
      </w:pPr>
      <w:bookmarkStart w:name="_Toc17" w:id="17"/>
      <w:r>
        <w:t xml:space="preserve">4.1 Abordagem por família de plataforma</w:t>
      </w:r>
      <w:bookmarkEnd w:id="17"/>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8" w:id="18"/>
      <w:r>
        <w:t xml:space="preserve">4.2 Cauda longa</w:t>
      </w:r>
      <w:bookmarkEnd w:id="1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19" w:id="19"/>
      <w:r>
        <w:t xml:space="preserve">4.3 Especificação declarativa de fonte</w:t>
      </w:r>
      <w:bookmarkEnd w:id="19"/>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0" w:id="20"/>
      <w:r>
        <w:t xml:space="preserve">5. Política de coleta responsável</w:t>
      </w:r>
      <w:bookmarkEnd w:id="20"/>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1" w:id="21"/>
      <w:r>
        <w:t xml:space="preserve">6. Matriz de cobertura esperada por fase</w:t>
      </w:r>
      <w:bookmarkEnd w:id="2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2" w:id="22"/>
      <w:r>
        <w:t xml:space="preserve">7. Situação da integração (outubro de 2026)</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normalização prontos (LinhaDemonstrativo)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RCL de todos os entes coletada todo dia, só a que falta (Anexo 03 do RREO); demais anexos sob demanda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e CEPIM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despesas, convênios e emendas pendentes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3" w:id="23"/>
      <w:r>
        <w:t xml:space="preserve">8. Registro de fontes</w:t>
      </w:r>
      <w:bookmarkEnd w:id="23"/>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2026-10-20T11:50:06.871Z</dcterms:created>
  <dcterms:modified xsi:type="dcterms:W3CDTF">2026-10-20T11:50:06.872Z</dcterms:modified>
</cp:coreProperties>
</file>

<file path=docProps/custom.xml><?xml version="1.0" encoding="utf-8"?>
<Properties xmlns="http://schemas.openxmlformats.org/officeDocument/2006/custom-properties" xmlns:vt="http://schemas.openxmlformats.org/officeDocument/2006/docPropsVTypes"/>
</file>