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DOC-04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Arquitetura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Estilo, containers, decisões registradas e estratégia de escala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base; seções 5 e 9 com a estrutura e a implantação reais (ADR-026, ADR-050)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setembro de 2026 (os limites da seção 9, em outubro de 2026)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Direcionadores arquiteturais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Visão de contexto e containers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Responsabilidade de cada container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Estilo arquitetural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3.1 Portas e adaptadores na ingestão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3.2 Camadas de dados no padrão medallion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Decisões arquiteturais registradas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9">
            <w:r>
              <w:t xml:space="preserve">ADR-001 — Usar PNCP e SICONFI como espinha dorsal, antes de qualquer raspagem municipal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0">
            <w:r>
              <w:t xml:space="preserve">ADR-002 — Camada bronze imutável como fonte de verdade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1">
            <w:r>
              <w:t xml:space="preserve">ADR-003 — Python na ingestão e detecção, TypeScript na API e no portal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2">
            <w:r>
              <w:t xml:space="preserve">ADR-004 — Conectores declarativos em vez de código por fonte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3">
            <w:r>
              <w:t xml:space="preserve">ADR-005 — PostgreSQL para domínio e formato colunar para análise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4">
            <w:r>
              <w:t xml:space="preserve">ADR-006 — Regras explicáveis em vez de aprendizado de máquina na versão 1.0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5">
            <w:r>
              <w:t xml:space="preserve">ADR-007 — Vocabulário controlado imposto por ferramenta, não por disciplina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6">
            <w:r>
              <w:t xml:space="preserve">ADR-008 — Revisão humana obrigatória acima do limiar de severidade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7">
            <w:r>
              <w:t xml:space="preserve">ADR-009 — Dagster como orquestrador, com os dados como cidadãos de primeira classe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8">
            <w:r>
              <w:t xml:space="preserve">ADR-010 — Monorepo com pacotes separados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5. Estrutura do repositório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6. Volumetria e escalabilidade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1">
            <w:r>
              <w:t xml:space="preserve">Estratégia de crescimento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7. Segurança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8. Observabilidade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9. Implantação sem custo na Fase 1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Direcionadores arquiteturais</w:t>
      </w:r>
      <w:bookmarkEnd w:id="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arquitetura do Lumen responde a cinco forças que, juntas, eliminam a maior parte das soluções óbvias. Entendê-las é pré-requisito para avaliar qualquer decisão registrada neste documento.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Direcionador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Consequência arquitetural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prova importa mais que o dado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artefato bruto é a fonte de verdade e nunca é sobrescrito; tudo mais é derivado e descartável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Heterogeneidade extrema das fontes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ingestão é isolada por portas e adaptadores; o núcleo nunca conhece o formato de origem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 nacional com equipe mínima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Conectores declarativos e integração das bases federais obrigatórias antes da cauda longa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analítico alto, escrita pontual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analítica colunar separada do banco transacional de domínio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Risco jurídico na publicação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Restrição de linguagem imposta no modelo de domínio e verificada automaticamente na integração contínua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3" w:id="3"/>
      <w:r>
        <w:t xml:space="preserve">2. Visão de contexto e containers</w:t>
      </w:r>
      <w:bookmarkEnd w:id="3"/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9055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Visão de containers: ingestão, armazenamento, processamento e entrega.</w:t>
      </w:r>
    </w:p>
    <w:p>
      <w:pPr>
        <w:pStyle w:val="Heading2"/>
        <w:keepNext/>
        <w:keepLines/>
        <w:spacing w:after="120" w:before="280"/>
      </w:pPr>
      <w:bookmarkStart w:name="_Toc4" w:id="4"/>
      <w:r>
        <w:t xml:space="preserve">2.1 Responsabilidade de cada container</w:t>
      </w:r>
      <w:bookmarkEnd w:id="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00"/>
        <w:gridCol w:w="4700"/>
        <w:gridCol w:w="26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Orquestrador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Agendar, retentar, versionar e observar execuções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Dagster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Trabalhadores de coleta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Executar conectores e preservar artefatos brutos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fontes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a especificação declarativa de cada fonte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YAML versionado em Git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Armazenamento de objetos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bronze imutável com hash e carimbo de tempo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ou MinIO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Lakehouse analítico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Camadas silver e gold em formato colunar particionado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Parquet + DuckDB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domínio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Entidades, indícios, contestações e trilha de auditoria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Índice de busca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textual em objetos de contratação e editais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OpenSearch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Normalizador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Converter qualquer fonte ao esquema canônico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Enriquecedor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Societário, catálogo de itens, grupo de pares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detecção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Executar regras versionadas e gerar indícios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+ SQL analítico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Avaliador de conformidade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cumprimento das obrigações legais de publicação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pública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Servir dados e indícios com contrato estável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TypeScript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web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pública de consulta e visualização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5" w:id="5"/>
      <w:r>
        <w:t xml:space="preserve">3. Estilo arquitetural</w:t>
      </w:r>
      <w:bookmarkEnd w:id="5"/>
    </w:p>
    <w:p>
      <w:pPr>
        <w:pStyle w:val="Heading2"/>
        <w:keepNext/>
        <w:keepLines/>
        <w:spacing w:after="120" w:before="280"/>
      </w:pPr>
      <w:bookmarkStart w:name="_Toc6" w:id="6"/>
      <w:r>
        <w:t xml:space="preserve">3.1 Portas e adaptadores na ingestão</w:t>
      </w:r>
      <w:bookmarkEnd w:id="6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ingestão é o ponto de maior variabilidade do sistema: cada uma das milhares de fontes possui formato, protocolo e qualidade próprios. Para impedir que essa variabilidade contamine o restante, toda fonte é acessada por meio de uma única porta, e cada família de fonte é um adaptador que a implementa. O núcleo de domínio não sabe se um contrato veio de uma API REST, de uma planilha ou de um PDF digitalizado.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905500" cy="1838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2. Porta FonteDados e seus adaptadores, com o alcance de cobertura de cada um.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contrato da porta é deliberadamente pequeno. Quatro operações bastam para todos os casos: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FonteDados(Protocol):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"""Porta unica de acesso a qualquer fonte de dado publico."""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descrever_capacidades(self) -&gt; CapacidadesFonte: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"""Que objetos essa fonte fornece, com que granularidade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 periodicidade. Consultado pelo orquestrador para montar o plano."""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listar(self, janela: Janela) -&gt; Iterator[ReferenciaArtefato]: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"""Enumera o que existe na janela, sem baixar conteudo.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Permite planejar volume antes de consumir cota da fonte."""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baixar(self, ref: ReferenciaArtefato) -&gt; ArtefatoBruto: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"""Obtem o conteudo exatamente como publicado.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Retorna bytes, midia, cabecalhos e URL efetiva apos redirecionamentos."""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reportar_conformidade(self) -&gt; RelatorioConformidade: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"""O que a fonte deveria publicar e nao publica.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 por aqui que a ausencia de dado vira achado, e nao erro."""</w:t>
            </w:r>
          </w:p>
        </w:tc>
      </w:tr>
    </w:tbl>
    <w:tbl>
      <w:tblPr>
        <w:tblW w:type="dxa" w:w="9600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DCE6F1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Por que reportar_conformidade fica na porta, e não fora dela</w:t>
            </w:r>
          </w:p>
          <w:p>
            <w:pPr>
              <w:spacing w:after="70"/>
            </w:pPr>
            <w:r>
              <w:t xml:space="preserve">Quem sabe distinguir uma indisponibilidade temporária de uma ausência persistente de publicação é o adaptador, porque só ele conhece o comportamento normal daquela fonte. Colocar essa responsabilidade no núcleo obrigaria o núcleo a conhecer particularidades de cada portal, que é exatamente o que a porta existe para evitar.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7" w:id="7"/>
      <w:r>
        <w:t xml:space="preserve">3.2 Camadas de dados no padrão medallion</w:t>
      </w:r>
      <w:bookmarkEnd w:id="7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Os dados percorrem três camadas com propósitos distintos e garantias distintas. A separação resolve o conflito entre preservar a prova e ter um modelo consultável e limpo.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905500" cy="28670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3. Camadas bronze, silver e gold, e os dois caminhos de volta que sustentam a auditabilidade.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3800"/>
        <w:gridCol w:w="43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Garantia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pode ser feito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Imutável, nunca alterada nem apagada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escrita por coleta e leitura por reprocessamento; é a prova jurídica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Silver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Reconstruível integralmente a partir do bronze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Pode ser apagada e regerada a qualquer momento sem perda de informação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Derivada e descartável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Recalculada a cada mudança de regra, parâmetro ou linha de base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consequência prática mais importante: mudar uma regra de detecção nunca exige nova coleta. Recalcula-se a camada gold sobre a silver existente. E corrigir um erro de normalização não exige pedir nada de novo às fontes, porque o bronze permanece intacto. Em um projeto que depende de milhares de servidores públicos de terceiros, essa propriedade vale mais do que qualquer otimização.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8" w:id="8"/>
      <w:r>
        <w:t xml:space="preserve">4. Decisões arquiteturais registradas</w:t>
      </w:r>
      <w:bookmarkEnd w:id="8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decisão relevante fica registrada com contexto, alternativas consideradas e consequências aceitas. Decisões podem ser substituídas por outras posteriores, mas nunca apagadas.</w:t>
      </w:r>
    </w:p>
    <w:p>
      <w:pPr>
        <w:pStyle w:val="Heading3"/>
        <w:keepNext/>
        <w:keepLines/>
        <w:spacing w:after="100" w:before="220"/>
      </w:pPr>
      <w:bookmarkStart w:name="_Toc9" w:id="9"/>
      <w:r>
        <w:t xml:space="preserve">ADR-001 — Usar PNCP e SICONFI como espinha dorsal, antes de qualquer raspagem municipal</w:t>
      </w:r>
      <w:bookmarkEnd w:id="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Cobrir 5.570 municípios por raspagem individual é inviável para uma equipe pequena e produziria milhares de integrações frágeis.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Integrar primeiro as bases federais de envio obrigatório que já concentram dados de praticamente todos os entes, e só então tratar a cauda longa.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Começar pelos portais municipais; começar por um estado piloto; comprar base de terceiro.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nacional já na fase 1, com poucas integrações. Em contrapartida, o sistema herda as lacunas das bases federais, o que é tratado pelo módulo de conformidade como achado e não como falha.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0" w:id="10"/>
      <w:r>
        <w:t xml:space="preserve">ADR-002 — Camada bronze imutável como fonte de verdade</w:t>
      </w:r>
      <w:bookmarkEnd w:id="1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indício só se sustenta se a evidência que o originou puder ser exibida exatamente como estava publicada na data da coleta. Portais reescrevem e removem páginas com frequência.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artefato é armazenado sem transformação, com hash SHA-256, URL efetiva, carimbo de tempo e cabeçalhos. Nova coleta gera nova versão; nada é sobrescrito.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apenas o dado normalizado; guardar apenas a URL e recoletar quando necessário.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de armazenamento maior e crescente. Em troca, o projeto sobrevive à remoção de conteúdo na origem e a qualquer contestação sobre o que estava publicado.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1" w:id="11"/>
      <w:r>
        <w:t xml:space="preserve">ADR-003 — Python na ingestão e detecção, TypeScript na API e no portal</w:t>
      </w:r>
      <w:bookmarkEnd w:id="11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ecossistema de coleta, extração de documentos e análise estatística é dominado por Python. A equipe já domina Node com arquitetura limpa para construção de API.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Separar por responsabilidade: Python do conector até o indício; TypeScript do indício até o usuário. O contato entre os dois mundos é o banco de domínio e o lakehouse, nunca chamadas diretas.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em Python; tudo em TypeScript.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Duas cadeias de ferramentas para manter. Em troca, cada camada usa o ecossistema onde é mais produtiva, e a fronteira entre elas é um contrato de dados explícito e testável.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2" w:id="12"/>
      <w:r>
        <w:t xml:space="preserve">ADR-004 — Conectores declarativos em vez de código por fonte</w:t>
      </w:r>
      <w:bookmarkEnd w:id="1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Escrever e manter uma classe por município produziria milhares de arquivos praticamente idênticos e impossíveis de manter.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especificação declarativa por fonte, interpretada por um motor genérico. Código novo só para fontes genuinamente exóticas.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classe por fonte; um único raspador genérico sem configuração.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fonte deixa de ser tarefa de programador e passa a ser tarefa de analista. O motor genérico fica mais complexo e precisa de cobertura de teste alta.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3" w:id="13"/>
      <w:r>
        <w:t xml:space="preserve">ADR-005 — PostgreSQL para domínio e formato colunar para análise</w:t>
      </w:r>
      <w:bookmarkEnd w:id="1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domínio tem escritas transacionais e relacionamentos ricos; a análise varre bilhões de linhas históricas. Um único banco atenderia mal aos dois perfis.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para entidades, indícios, contestações e auditoria. Parquet particionado consultado por motor colunar para as camadas silver e gold.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PostgreSQL; somente lakehouse; data warehouse gerenciado.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 preciso manter consistência entre os dois mundos. Em troca, consulta analítica não degrada a operação, e o custo de armazenamento analítico cai por ordens de grandeza.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4" w:id="14"/>
      <w:r>
        <w:t xml:space="preserve">ADR-006 — Regras explicáveis em vez de aprendizado de máquina na versão 1.0</w:t>
      </w:r>
      <w:bookmarkEnd w:id="1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indício precisa ser explicado em linguagem simples a um cidadão e reproduzido por um terceiro. Um modelo estatístico opaco não satisfaz nenhuma das duas exigências e amplia o risco jurídico.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versão 1.0 usa apenas regras determinísticas e estatística clássica, com parâmetros explícitos e versionados.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 de anomalia por aprendizado não supervisionado desde o início.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capacidade de descobrir padrões não antecipados. Em troca, cada indício é explicável, auditável e defensável. Métodos mais sofisticados ficam para versões futuras, e somente como priorização interna da fila, nunca como base de publicação.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5" w:id="15"/>
      <w:r>
        <w:t xml:space="preserve">ADR-007 — Vocabulário controlado imposto por ferramenta, não por disciplina</w:t>
      </w:r>
      <w:bookmarkEnd w:id="1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proibição de imputar ilícito é a restrição mais crítica do projeto. Depender de revisão humana para garanti-la é frágil: basta um texto de erro, um rótulo ou um comentário escaparem.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lista de termos proibidos é verificada automaticamente em todo texto destinado ao público, e a verificação roda na integração contínua quebrando o build quando violada.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Diretriz documentada; revisão editorial manual.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Algum atrito no desenvolvimento e necessidade de manter a lista. Em troca, a garantia deixa de depender de memória individual e passa a ser propriedade verificável do sistema.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6" w:id="16"/>
      <w:r>
        <w:t xml:space="preserve">ADR-008 — Revisão humana obrigatória acima do limiar de severidade</w:t>
      </w:r>
      <w:bookmarkEnd w:id="1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automática de indício sobre pessoa jurídica identificável concentra o maior risco do projeto.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indício de severidade alta é publicado sem aprovação humana registrada, com autor e justificativa em trilha somente-anexação.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automática com limiar alto; revisão por amostragem.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 dependência de capacidade humana e limita o volume publicável. Essa limitação é aceita deliberadamente: o gargalo protege o projeto.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7" w:id="17"/>
      <w:r>
        <w:t xml:space="preserve">ADR-009 — Dagster como orquestrador, com os dados como cidadãos de primeira classe</w:t>
      </w:r>
      <w:bookmarkEnd w:id="1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pipeline tem milhares de execuções parciais, dependências entre fontes e necessidade de reprocessar recortes específicos sem refazer tudo.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Adotar orquestrador centrado em ativos de dados, e não em tarefas, o que torna o reprocesso seletivo e a linhagem propriedades nativas.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Airflow; Prefect; agendamento por cron com scripts.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Curva de aprendizado inicial maior que a de um agendador simples. Em troca, linhagem, materialização parcial e reprocesso seletivo vêm prontos, que são exatamente as operações mais frequentes deste projeto.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8" w:id="18"/>
      <w:r>
        <w:t xml:space="preserve">ADR-010 — Monorepo com pacotes separados</w:t>
      </w:r>
      <w:bookmarkEnd w:id="1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pequena, forte acoplamento conceitual entre o esquema canônico, as regras e a API que os expõe.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único repositório com pacotes independentes e versionamento conjunto do esquema canônico.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Repositórios separados por serviço.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Mudanças no esquema canônico são atômicas e não geram dessincronização entre serviços. O repositório cresce e exige boa configuração de integração contínua seletiva por caminho alterado.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9" w:id="19"/>
      <w:r>
        <w:t xml:space="preserve">5. Estrutura do repositório</w:t>
      </w:r>
      <w:bookmarkEnd w:id="1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estrutura real em outubro de 2026. Pastas previstas no desenho inicial e ainda não criadas: a API pública em TypeScript, o enriquecimento separado, os conectores declarativos em YAML (Fase 3), a orquestração em Dagster e o Terraform. O detalhe de cada pacote está na página Componentes da Wiki.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FalkyriaLumen/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packages/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canonico/       # esquema canonico, identidade, documentos e a migracao 0001 (PostgreSQL)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ingestao/       # Python - coleta HTTP, bronze com hash (local ou S3) e adaptadores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normalizacao/   # Python - bruto para canonico, qualidade e quarentena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conformidade/   # Python - entregas da LRF ao Tesouro (SICONFI)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deteccao/       # Python - regras em modo silencioso (A-01, A-05, J-01)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painel/         # Python - paineis de contratacoes, conformidade, governos municipais,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                #   empresas, tribunais de contas e avisos (site estatico de dados)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economia/       # Python - series de economia e contas publicas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mercado/        # Python - precos de referencia (ANP) para a A-05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eleicoes/       # Python - aba Eleicoes: TSE ao vivo e dados abertos desde 1933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orquestracao/   # Python - comando lumen e o pipeline local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portal/         # Next.js - interface publica, exportacao estatica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infra/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docker-compose.yml   # PostgreSQL e MinIO locais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proxy-br/            # intermediario em Sao Paulo (Vercel, ADR-050)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runner-br/           # runner proprio no Brasil para o TCE-RS (ADR-050)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ferramentas/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lint-vocabulario/    # verificador de vocabulario controlado (ADR-007)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referencia/          # extracao do codigo para o DOC-11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.github/workflows/  # CI e as coletas agendadas (o orquestrador da Fase 1, ADR-026)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               # DOC-01 a DOC-13, ADRs e a Wiki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docs-src/           # fonte dos .docx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testes/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fixtures/       # amostras reais de cada fonte, versionadas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contrato/       # testes de contrato contra as fontes reais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integracao/     # testes contra o PostgreSQL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0" w:id="20"/>
      <w:r>
        <w:t xml:space="preserve">6. Volumetria e escalabilidade</w:t>
      </w:r>
      <w:bookmarkEnd w:id="2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estimativas abaixo orientam o dimensionamento inicial. São ordens de grandeza, não previsões precisas, e devem ser revistas ao final da fase 1 com números reais de coleta.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2600"/>
        <w:gridCol w:w="4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Implicação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Entes monitorados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~6.000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 em memória; não é o fator de escala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Contratações por ano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Ordem de milhões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tratável em formato colunar particionado por ano e UF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Itens contratados por ano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Ordem de dezenas de milhões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 tabela analítica; exige particionamento e compressão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Empenhos por ano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Ordem de dezenas de milhões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Particionar por exercício e esfera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Artefatos brutos por ano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Ordem de milhões de objetos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Armazenamento de objetos com política de classe de acesso por idade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alvo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anos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analítica projetada para a casa de bilhões de linhas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21" w:id="21"/>
      <w:r>
        <w:t xml:space="preserve">Estratégia de crescimento</w:t>
      </w:r>
      <w:bookmarkEnd w:id="21"/>
    </w:p>
    <w:p>
      <w:pPr>
        <w:pStyle w:val="ListParagraph"/>
        <w:numPr>
          <w:ilvl w:val="0"/>
          <w:numId w:val="2"/>
        </w:numPr>
        <w:spacing w:after="70"/>
      </w:pPr>
      <w:r>
        <w:t xml:space="preserve">Particionamento por exercício e unidade federativa em todas as tabelas analíticas grandes, de modo que consultas por ente ou por ano leiam uma fração mínima do total.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Compressão colunar com ordenação por ente e data, o que melhora simultaneamente o custo de armazenamento e o desempenho dos filtros mais frequentes.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Processamento sob demanda em vez de cluster permanente: o pipeline sobe capacidade para o ciclo e a libera ao fim, o que se ajusta ao perfil de carga concentrada e ao orçamento restrito.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o motor colunar embarcado deixar de atender ao crescimento do histórico, a substituição por um banco colunar distribuído não afeta as camadas acima, porque o formato de armazenamento é aberto.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2" w:id="22"/>
      <w:r>
        <w:t xml:space="preserve">7. Segurança</w:t>
      </w:r>
      <w:bookmarkEnd w:id="2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Domínio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 administrativa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Segundo fator obrigatório, sessão com expiração curta e registro de tentativas malsucedidas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Perfis separados de revisor e administrador; permissão de calibração distinta da de revisão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Segredos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Cofre de segredos; nenhuma credencial em repositório, imagem ou variável de build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Transporte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TLS 1.2 ou superior em todo tráfego externo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Repouso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Cifragem no armazenamento de objetos e nos backups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Trilha de auditoria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Somente-anexação, sem permissão de alteração ou exclusão pela aplicação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Superfície pública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com limite de taxa por chave e por endereço; portal sem escrita anônima exceto contestação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Dependências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Verificação automática de vulnerabilidade e fixação de versões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Integridade da prova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registrado no momento da coleta e reconferido a cada leitura do artefato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3" w:id="23"/>
      <w:r>
        <w:t xml:space="preserve">8. Observabilidade</w:t>
      </w:r>
      <w:bookmarkEnd w:id="2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sistema é observado em três níveis, porque falhas silenciosas de coleta são o modo de falha mais perigoso: o pipeline continua verde enquanto a cobertura real despenca.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4400"/>
        <w:gridCol w:w="3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 medido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Alarme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CPU, memória, fila, latência de armazenamento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Limiares padrão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Execuções por fonte, taxa de falha, atraso em relação à janela, volume coletado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Queda de volume acima de desvio esperado para a fonte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por ente, indícios por regra, taxa de descarte na revisão, tempo de contestação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em queda ou taxa de descarte de uma regra acima do limite</w:t>
            </w:r>
          </w:p>
        </w:tc>
      </w:tr>
    </w:tbl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Alarme mais importante do sistema</w:t>
            </w:r>
          </w:p>
          <w:p>
            <w:pPr>
              <w:spacing w:after="70"/>
            </w:pPr>
            <w:r>
              <w:t xml:space="preserve">A métrica que mais merece atenção não é erro, é ausência: uma fonte que passa a retornar sucesso com zero registros. Tecnicamente tudo funciona, e a cobertura desaparece em silêncio. Por isso o alarme de variação de volume por fonte é tratado como crítico, no mesmo nível de uma falha de coleta.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4" w:id="24"/>
      <w:r>
        <w:t xml:space="preserve">9. Implantação sem custo na Fase 1</w:t>
      </w:r>
      <w:bookmarkEnd w:id="2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Os containers da seção 2 descrevem papéis, não fornecedores. Enquanto o projeto não tem orçamento, cada papel roda num plano gratuito (ADR-026). A troca por um serviço pago não muda o código: o armazenamento é S3 compatível, o banco é PostgreSQL e os dados analíticos são Parquet.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Fase 1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Limite que pede a primeira despesa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Armazenamento de objetos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Supabase Storage (compatível com S3) para os feeds das eleições desde 14/10/2026; versões do GitHub (painel-estado) para o estado das coletas; R2 continua como alternativa sem mudar o código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 GB do Supabase gratuito (o bucket tem teto de 900 MB)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Lakehouse analítico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Parquet consultado com DuckDB, no estado das coletas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mesmo armazenamento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Banco de domínio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local (Docker) com a migração 0001; o Supabase do núcleo, em organização própria, ainda por criar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500 MB de banco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Orquestrador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Actions agendado, com cargas retomáveis e prazo por execução; o Dagster entra quando houver máquina permanente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Repositório público: os minutos não são cobrados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Portal web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Vercel, exportação estática; os dados dos painéis no GitHub Pages; o Cloudflare Pages tem fluxo pronto (portal-pages)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Domínio próprio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Acesso às fontes só do Brasil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Função da Vercel em São Paulo (infra/proxy-br) e, para o TCE-RS, runner próprio num servidor no Brasil (infra/runner-br)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servidor do runner, se não for o gratuito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Índice de busca e API pública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Ainda não implantados: entram nas fases seguintes (DOC-10)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Os segredos ficam nos segredos do GitHub Actions e em variáveis de ambiente, nunca no repositório (seção 7). O passo a passo da configuração está no DOC-12, seção 9.5.</w:t>
      </w:r>
    </w:p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DOC-04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a202abe9a04538746ae79fe64d3eaf6844b5fe4.png"/><Relationship Id="rId10" Type="http://schemas.openxmlformats.org/officeDocument/2006/relationships/image" Target="media/35305b096dfb50ecc0f267c5e1ece962fd14b9d0.png"/><Relationship Id="rId11" Type="http://schemas.openxmlformats.org/officeDocument/2006/relationships/image" Target="media/98d52e6bc17318a2fc8468d00ed12ba078e0322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DOC-04 - Arquitetura</dc:title>
  <dc:creator>Projeto Lumen</dc:creator>
  <dc:description>Estilo, containers, decisões registradas e estratégia de escala</dc:description>
  <cp:lastModifiedBy>Un-named</cp:lastModifiedBy>
  <cp:revision>1</cp:revision>
  <dcterms:created xsi:type="dcterms:W3CDTF">2026-10-30T09:53:15.151Z</dcterms:created>
  <dcterms:modified xsi:type="dcterms:W3CDTF">2026-10-30T09:53:15.152Z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