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2.2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ADR-028, o ADR-038, o ADR-039, o ADR-041 e o ADR-042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O pacote lumen_painel, módulo a módulo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4.1 comum.py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4.2 cadastro.py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4.3 dia.py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4.4 contratacoes.py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4.5 conformidade.py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4.6 site.py e cli.py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4.7 pares.py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4.8 operacao.py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4.9 rcl.py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4.10 despesa_funcao.py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4.11 pessoal.py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4.12 cnpj.py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4.13 emendas.py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4.14 convenios.py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4.15 cobertura.py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4.16 pessoas_juridicas.py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5. Estado guardado entre execuções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6. Site publicado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7. Regras de soma das contratações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8. Avaliação da conformidade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8.1 Comparação com o grupo de pares (ADR-038)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9. Portal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8">
            <w:r>
              <w:t xml:space="preserve">10. Operação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9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0">
            <w:r>
              <w:t xml:space="preserve">Comandos locais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1">
            <w:r>
              <w:t xml:space="preserve">Limites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11. Verificação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3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Objetivo e escopo</w:t>
      </w:r>
      <w:bookmarkEnd w:id="2"/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  <w:p>
            <w:pPr>
              <w:spacing w:after="70"/>
            </w:pPr>
            <w:r>
              <w:t xml:space="preserve">Os fatos que merecem um olhar (valor a conferir, relatório que não consta ou atrasado, portal de transparência com nível baixo e contrato com empresa sancionada) são reunidos na página de avisos, com ressalva e contestação, sem revisão prévia, por decisão do autor (ADR-047).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Fontes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Arquitetura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4. O pacote lumen_painel, módulo a módulo</w:t>
      </w:r>
      <w:bookmarkEnd w:id="5"/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4.1 comum.py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4.2 cadastro.py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4.3 dia.py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4.4 contratacoes.py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sem_ente; antes, o órgão sem ente da lista de vínculos ganha o 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estatais_federais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estatais federais do cadastro da SEST pela raiz do CNPJ, ligadas à União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PNCP publica algumas sem esfera (Caixa, EBSERH, BNDES); ADR-048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" w:id="10"/>
      <w:r>
        <w:t xml:space="preserve">4.5 conformidade.py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" w:id="11"/>
      <w:r>
        <w:t xml:space="preserve">4.6 site.py e cli.py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4.7 pares.py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pessoal: o percentual da despesa com pessoal do Executivo e os limites do RGF, com os quartis do percentual no grupo (ADR-042)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Distribuição só com 15 entes do grupo com o RGF lido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despesa_por_habitante, distribuicoes_de_despesa, despesa_do_ente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despesa: o total e cada função por habitante do ente, com os quartis do grupo (ADR-041)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População do cadastro; distribuição só com 15 entes do grupo com a DCA lida e somando o total; função não executada vale zero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3" w:id="13"/>
      <w:r>
        <w:t xml:space="preserve">4.8 operacao.py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resumir_fluxos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linha por fluxo de dados acompanhado (FLUXOS): execuções, falhas, a última e a última com sucesso em 30 dias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as execuções que o paineis-site grava com gh run list; fluxo diário sem sucesso há mais de 36 h está atrasado (ADR-039)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volume_contratacoes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por dia nos últimos 60 dias, com a referência e o alerta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Mediana do mesmo dia da semana em 8 semanas; dia útil abaixo da metade é alerta; feriado, ponto facultativo e ponte nacionais ficam de fora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coleta_conformidade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UF: quando o extrato foi coletado e quantos entes com coleta malsucedida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Mais de 36 h é atraso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alertas, operacao_para_json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operacao.json, com os alertas do mais grave ao menos e os limiares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UFs atrasadas viram um alerta só; limiares iniciais, marcados como não calibrados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4" w:id="14"/>
      <w:r>
        <w:t xml:space="preserve">4.9 rcl.py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tipos_pelo_extrato, ordem_de_tentativa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de RREO de cada ente pelo extrato de entregas do 6º bimestre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porte não diz se o ente publica o RREO completo ou o simplificado; o extrato diz. Sem a entrega, o ente não é consultado; sem extrato, vão os dois tipos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rcl)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RCL dos entes pendentes da UF: RREO, Anexo 03, 6º bimestre do exercício anterior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diretório temporário; LinhaDemonstrativo;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ler_rcl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RCL de todas as UFs para a publicação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5" w:id="15"/>
      <w:r>
        <w:t xml:space="preserve">4.10 despesa_funcao.py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exercicio_padrao, entregues_pelo_extrato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último exercício com a DCA no prazo e quem a entregou,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DCA sai até 30/4 (municípios) e 31/5 (estados): o exercício anterior a partir de maio. Quem não tem a DCA no extrato não é consultado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despesa-funcao)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DCA, Anexo I-E,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50; não começa lote novo depois de --limite-minutos (todas as UFs); o lote de uma coleta interrompida continua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despesas_da_silver, confere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e funções (NN - Nome) da despesa liquidada, sem as intraorçamentárias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subfunções ficam de fora; as funções somam o total (tolerância de 1%), e a DCA que não soma fica fora das distribuições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ler_despesas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despesa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" w:id="16"/>
      <w:r>
        <w:t xml:space="preserve">4.11 pessoal.py</w:t>
      </w:r>
      <w:bookmarkEnd w:id="1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consultas_pelo_extrato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(RGF ou simplificado) e a periodicidade do RGF do Executivo no último período,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 da prefeitura ou do governo; sem ela, o ente não é consultado; sem extrato, vão o RGF quadrimestral e o simplificado semestral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pessoal)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Anexo 1, do Poder Executivo,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 por combinação; --limite-minutos para todas as UFs; ente com combinação não consultada fica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pessoal_da_silver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Percentual da despesa total com pessoal sobre a RCL ajustada, valores e limites declarados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 que começa com % para os percentuais e Valor para os valores; o tipo exato vem da consulta que achou o dado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ler_pessoal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percentual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" w:id="17"/>
      <w:r>
        <w:t xml:space="preserve">4.12 cnpj.py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listar, mes_mais_recente,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pasta do mês da base de CNPJ no compartilhamento da Receita e cada ZIP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WebDAV público (token como usuário); download retomado por Range; quatro tentativas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fornecedores_do_estado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CNPJs de fornecedor dos dias do PNCP guardados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eles entram (minimização, ADR-043)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ler_empresas, ler_estabelecimentos, ler_socios, ler_simples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linhas dos fornecedores em cada conjunto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Filtro pela posição fixa do CNPJ antes do CSV; sem endereço, telefone, e-mail e CPF de sócio; CPF do MEI mascarado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 (lumen painel cnpj)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cnpj-fornecedores.json.gz com as tabelas usadas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ZIP de cada vez, apagado depois; pula quando o estado tem o mês para todos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cnpj/&lt;3 dígitos&gt;.json.gz (comprimido, com os códigos) e cnpj/tabelas.json (os nomes)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pelo cartão do fornecedor em Contratações, que descomprime no navegador; sem compressão a base teria 402 MB no site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8" w:id="18"/>
      <w:r>
        <w:t xml:space="preserve">4.13 emendas.py</w:t>
      </w:r>
      <w:bookmarkEnd w:id="1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e o ZIP das emendas no Portal da Transparência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o Last-Modified muda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categoria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categoria do favorecido pela natureza jurídica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Governo municipal ou estadual, entidade, empresa, pessoa física; o agente financeiro (o banco que opera os repasses) fica sem lugar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indice_de_lugares, APELIDOS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código IBGE pelo nome do município do favorecido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Cruzamento sem acento com o cadastro; nomes antigos numa tabela de apelidos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emendas)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recebido por ente, emenda, categoria e favorecido, e a descrição das emendas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Pessoa física só na soma; CPF do MEI mascarado; o que não tem lugar fica nos totais por ano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 de 1 a 46 municípios, para a implantação do Pages caber no prazo;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" w:id="19"/>
      <w:r>
        <w:t xml:space="preserve">4.14 convenios.py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na página de download e o ZIP dos convênios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sai um novo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convenios)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por ente, pelo tipo do convenente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Início de 2001 em diante; anulados e excluídos fora; o estado na UF; pessoa física só na soma; município pelo nome, com os apelidos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grupos, como as emendas;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" w:id="20"/>
      <w:r>
        <w:t xml:space="preserve">4.15 cobertura.py</w:t>
      </w:r>
      <w:bookmarkEnd w:id="2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anos_com_publicacao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anos com ao menos um processo ou um contrato no acumulador do ente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Mês sem nada não conta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ate_20_mil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município tem até 20 mil habitantes pela população do cadastro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 14.133, art. 176: até 1º/4/2027 para divulgar no PNCP; até lá, diário oficial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cobertura.json: uma linha por estado, DF e município, somas por UF e do Brasil, a União à parte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da Fase 1 (ADR-048); mede o que o Lumen tem, não avalia o 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sem_ente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publicado sem ente: totais, fração dos processos e do valor e os 20 órgãos sem ente com mais processos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Fica no panorama do Brasil e fora das linhas; em 2026, 9,8% do valor estimado, depois das estatais federais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1" w:id="21"/>
      <w:r>
        <w:t xml:space="preserve">4.16 pessoas_juridicas.py</w:t>
      </w:r>
      <w:bookmarkEnd w:id="2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de_contratacoes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contratos de cada fornecedor pessoa jurídica por ente contratante e ano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 mesma soma do painel; o valor a conferir conta e não soma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de_convenios, de_emendas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como convenente e o recebido de emendas como favorecido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Dos estados das coletas da CGU (ADR-044 e ADR-045); objeto cortado em 160 caracteres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pj/&lt;grupo&gt;.json.gz (6º a 8º dígitos do CNPJ)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Visão 360 da empresa ou entidade (ADR-049); mil arquivos de tamanho parecido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normalizar, palavras_da_busca, montar_busca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busca pelo nome: pj/busca/&lt;prefixo&gt;.json.gz e o índice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Prefixo de duas letras de cada palavra (três quando passa de 10 mil nomes); normalização igual à do portal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2" w:id="22"/>
      <w:r>
        <w:t xml:space="preserve">5. Estado guardado entre execuções</w:t>
      </w:r>
      <w:bookmarkEnd w:id="22"/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rcl-UF.json.gz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Receita corrente líquida de cada ente da UF no exercício anterior (RREO, Anexo 03),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rcl, demonstrativo,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convenios.json.gz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por ente (ADR-045), com a data do arquivo da CGU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 (por código IBGE: número, situação, objeto, órgão, categoria, cnpj, convenente, valor, liberado, contrapartida, início, fim, última liberação), pessoa_fisica, fora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emendas.json.gz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por ente (ADR-044), com a data do arquivo da CGU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recebido (por código IBGE: ano, emenda, categoria, cnpj, favorecido, valor), emendas (ano, tipo, autor, número, função, ação), sem_lugar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cnpj-fornecedores.json.gz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de CNPJ da Receita dos fornecedores (ADR-043): empresa, estabelecimento, Simples e sócios, com o mês e as tabelas de código usadas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empresa, estabelecimento, simples, socios; pedidos (os CNPJs procurados)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de cada ente da UF no último período do exercício anterior (RGF, Anexo 1),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percentual, dtp, rcl_ajustada, limites (alerta, prudencial, maximo), demonstrativo, periodo, periodicidade,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despesa-funcao-UF.json.gz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liquidada por função de cada ente da UF no último exercício com DCA (Anexo I-E), ou a data da última tentativa sem dado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total, funcoes (código da função → valor), coletado_em ou tentado_em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6. Site publicado</w:t>
      </w:r>
      <w:bookmarkEnd w:id="23"/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contratacoes/ente/&lt;grupo&gt;.json.gz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entes do grupo (3º a 5º dígitos do município, ou o código), cada um como contratacoes-ente; o de um estado com os municípios da UF. Comprimido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contratacoes/orgao/&lt;grupo&gt;.json.gz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órgãos do grupo (6º a 8º dígitos do CNPJ), cada um como contratacoes-orgao, com o ente a que pertence. Comprimido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coletas: fluxos, volume diário do PNCP e coleta da conformidade (ADR-039)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pj/&lt;grupo&gt;.json.gz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pessoas-juridicas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contratos no PNCP por ente e ano, emendas recebidas e convênios com a União (ADR-049). Comprimido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cobertura.json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cobertura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anos com publicação no PNCP, extrato coletado, DCA, RGF, RCL e a marca de até 20 mil habitantes; somas por UF e do Brasil (ADR-048)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4" w:id="24"/>
      <w:r>
        <w:t xml:space="preserve">7. Regras de soma das contratações</w:t>
      </w:r>
      <w:bookmarkEnd w:id="24"/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bookmarkStart w:name="_Toc25" w:id="25"/>
      <w:r>
        <w:t xml:space="preserve">8. Avaliação da conformidade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8.1 Comparação com o grupo de pares (ADR-038)</w:t>
      </w:r>
      <w:bookmarkEnd w:id="26"/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spacing w:after="120"/>
      </w:pPr>
      <w:r>
        <w:t xml:space="preserve">Com a DCA do último exercício (ADR-041), o mesmo cartão mostra a despesa por função: o total gasto em cada função e a fatia do total, e, no filtro "por habitante, com o grupo", o valor por habitante do ente, a mediana e a metade central do grupo (do 1º ao 3º quartil) e de que lado dela o ente fica. Aparecem o total e as sete funções de maior mediana no grupo, e o resto fica em "ver todas". A tela lista as causas comuns de diferença (equipamento regional que atende vizinhos, classificação por função que varia, população desatualizada, DCA como foi entregue) e liga para a DCA do ente no SICONFI. Sem escore e sem destaque: a marcação é a regra H-01, da Fase 2.</w:t>
      </w:r>
    </w:p>
    <w:p>
      <w:pPr>
        <w:spacing w:after="120"/>
      </w:pPr>
      <w:r>
        <w:t xml:space="preserve">Com o RGF do último período (ADR-042), o cartão mostra também a despesa total com pessoal do Poder Executivo em % da RCL ajustada, os limites de alerta, prudencial e máximo que o próprio relatório declara (LRF, arts. 20, 22 e 59) e de que lado deles o percentual fica, ao lado da mediana e da metade central do grupo. São os números do ente: a verificação do cumprimento cabe ao tribunal de contas, e a tela diz isso.</w:t>
      </w:r>
    </w:p>
    <w:p>
      <w:pPr>
        <w:pStyle w:val="Heading1"/>
        <w:keepNext/>
        <w:keepLines/>
        <w:spacing w:after="160" w:before="380"/>
      </w:pPr>
      <w:bookmarkStart w:name="_Toc27" w:id="27"/>
      <w:r>
        <w:t xml:space="preserve">9. Portal</w:t>
      </w:r>
      <w:bookmarkEnd w:id="2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em % da RCL ajustada, os limites do RGF e a mediana do grupo, com o link do RGF (ADR-042)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por função do ente: o total gasto e a fatia de cada função (padrão) ou, no filtro, por habitante ao lado da mediana e da metade central do grupo, com as ressalvas e o link da DCA (ADR-041)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src/componentes/paineis/EmpresaReceita.tsx, src/lib/receita.ts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Cartão "Na Receita Federal" do fornecedor filtrado em Contratações: cadastro, Simples e quadro societário (ADR-043)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src/componentes/economia/EmendasMandato.tsx, src/lib/emendas.ts, src/lib/comprimido.ts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no mandato aberto de Governos municipais, por categoria, autor e favorecido, e a leitura dos arquivos .json.gz no navegador (ADR-044)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src/componentes/economia/ConveniosMandato.tsx, src/lib/convenios.ts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iniciados no mandato aberto de Governos municipais, com a situação no SIAFI e a lista (ADR-045)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Faixa "Este município nas outras abas": Contratações, Conformidade, Governos municipais e Eleições do mesmo ente (visão 360, ADR-035 e ADR-040)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src/app/operacao/page.tsx, src/componentes/paineis/PainelOperacao.tsx, src/lib/operacao.ts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 (/operacao/, link no rodapé): alertas, fluxos, volume diário do PNCP e coleta da conformidade (ADR-039)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bookmarkStart w:name="_Toc28" w:id="28"/>
      <w:r>
        <w:t xml:space="preserve">10. Operação</w:t>
      </w:r>
      <w:bookmarkEnd w:id="2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grava as execuções dos fluxos (gh run list, permissão actions: read),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9" w:id="29"/>
      <w:r>
        <w:t xml:space="preserve">Configuração, uma vez</w:t>
      </w:r>
      <w:bookmarkEnd w:id="29"/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bookmarkStart w:name="_Toc30" w:id="30"/>
      <w:r>
        <w:t xml:space="preserve">Comandos locais</w:t>
      </w:r>
      <w:bookmarkEnd w:id="30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31" w:id="31"/>
      <w:r>
        <w:t xml:space="preserve">Limites</w:t>
      </w:r>
      <w:bookmarkEnd w:id="31"/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11. Verificação</w:t>
      </w:r>
      <w:bookmarkEnd w:id="3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bookmarkStart w:name="_Toc33" w:id="33"/>
      <w:r>
        <w:t xml:space="preserve">12. Próximos passos e riscos</w:t>
      </w:r>
      <w:bookmarkEnd w:id="3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2026-10-21T12:36:07.378Z</dcterms:created>
  <dcterms:modified xsi:type="dcterms:W3CDTF">2026-10-21T12:36:07.379Z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