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 e o ADR-039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1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4" w:id="14"/>
      <w:r>
        <w:t xml:space="preserve">5. Estado guardado entre execuções</w:t>
      </w:r>
      <w:bookmarkEnd w:id="14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5" w:id="15"/>
      <w:r>
        <w:t xml:space="preserve">6. Site publicado</w:t>
      </w:r>
      <w:bookmarkEnd w:id="15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6" w:id="16"/>
      <w:r>
        <w:t xml:space="preserve">7. Regras de soma das contratações</w:t>
      </w:r>
      <w:bookmarkEnd w:id="16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17" w:id="17"/>
      <w:r>
        <w:t xml:space="preserve">8. Avaliação da conformidade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8.1 Comparação com o grupo de pares (ADR-038)</w:t>
      </w:r>
      <w:bookmarkEnd w:id="18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9. Portal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0" w:id="20"/>
      <w:r>
        <w:t xml:space="preserve">10. Operação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1" w:id="21"/>
      <w:r>
        <w:t xml:space="preserve">Configuração, uma vez</w:t>
      </w:r>
      <w:bookmarkEnd w:id="21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2" w:id="22"/>
      <w:r>
        <w:t xml:space="preserve">Comandos locais</w:t>
      </w:r>
      <w:bookmarkEnd w:id="22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3" w:id="23"/>
      <w:r>
        <w:t xml:space="preserve">Limites</w:t>
      </w:r>
      <w:bookmarkEnd w:id="23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4" w:id="24"/>
      <w:r>
        <w:t xml:space="preserve">11. Verificação</w:t>
      </w:r>
      <w:bookmarkEnd w:id="2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12. Próximos passos e riscos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2026-10-20T10:07:07.321Z</dcterms:created>
  <dcterms:modified xsi:type="dcterms:W3CDTF">2026-10-20T10:07:07.322Z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