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9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Token gratuito, obtido por cadastro de e-mail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400 requisições por minuto entre 6h e 23h59; 700 entre 0h e 5h59</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w:t>
      </w:r>
    </w:p>
    <w:p>
      <w:pPr>
        <w:pStyle w:val="Heading2"/>
        <w:keepNext/>
        <w:keepLines/>
        <w:spacing w:after="120" w:before="280"/>
      </w:pPr>
      <w:r>
        <w:t xml:space="preserve">2.8 Referência de mercado de fora do governo (regra A-05)</w:t>
      </w:r>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mesma pasta, série glp (glp-AAAA-0S), padrão de endereço a conferir pelo teste de contrato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posto a posto, com combustíveis e GLP: título antes do cabeçalho, UF pelo nome do estado, data como número de série do Excel, nomes de produto próprios (GASOLINA COMUM, ETANOL HIDRATADO, OLEO DIESEL S10). O nome do arquivo não segue padrão fixo (2026-08-30-2026-09-5): os endereços são tirados da página. A página guarda só as semanas recentes, por isso a planilha vai para o bronze ao ser baixada.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a credencial, quando exigida,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Exige token; previsto na Fase 1</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das últimas semanas; formato real a conferir pela primeira execução do fluxo mercado-referencia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2026-10-09T11:15:23.760Z</dcterms:created>
  <dcterms:modified xsi:type="dcterms:W3CDTF">2026-10-09T11:15:23.769Z</dcterms:modified>
</cp:coreProperties>
</file>

<file path=docProps/custom.xml><?xml version="1.0" encoding="utf-8"?>
<Properties xmlns="http://schemas.openxmlformats.org/officeDocument/2006/custom-properties" xmlns:vt="http://schemas.openxmlformats.org/officeDocument/2006/docPropsVTypes"/>
</file>