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21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p>
      <w:pPr>
        <w:spacing w:after="120"/>
      </w:pPr>
      <w:r>
        <w:rPr>
          <w:b w:val="false"/>
          <w:bCs w:val="false"/>
          <w:i w:val="false"/>
          <w:iCs w:val="false"/>
        </w:rPr>
        <w:t xml:space="preserve">Desde 2026, a base fica num compartilhamento do Nextcloud da Receita, uma pasta por mês, lida pelo WebDAV público (37 arquivos e 7,8 GB compactados em outubro de 2026). O Lumen lê só os fornecedores dos contratos do painel, toda semana, sem o CPF dos sócios, o endereço, o telefone e o e-mail; a razão social do MEI traz o CPF do titular, mascarado na leitura (ADR-043).</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CEPIM e emendas parlamentares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e ADR-044); convênios e despesas pendentes, pelo mesmo caminho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Em uso para os fornecedores dos contratos (ADR-043)</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pelo WebDAV do compartilhamento; semanal;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2026-10-21T10:18:03.594Z</dcterms:created>
  <dcterms:modified xsi:type="dcterms:W3CDTF">2026-10-21T10:18:03.595Z</dcterms:modified>
</cp:coreProperties>
</file>

<file path=docProps/custom.xml><?xml version="1.0" encoding="utf-8"?>
<Properties xmlns="http://schemas.openxmlformats.org/officeDocument/2006/custom-properties" xmlns:vt="http://schemas.openxmlformats.org/officeDocument/2006/docPropsVTypes"/>
</file>