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6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7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8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0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emendas/ente/&lt;código IBGE&gt;.json.gz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Comprimido; lido pelo mandato aberto em Governos municipais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9" w:id="19"/>
      <w:r>
        <w:t xml:space="preserve">5. Estado guardado entre execuções</w:t>
      </w:r>
      <w:bookmarkEnd w:id="19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6. Site publicado</w:t>
      </w:r>
      <w:bookmarkEnd w:id="20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7. Regras de soma das contratações</w:t>
      </w:r>
      <w:bookmarkEnd w:id="21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8. Avaliação da conformidade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3" w:id="23"/>
      <w:r>
        <w:t xml:space="preserve">8.1 Comparação com o grupo de pares (ADR-038)</w:t>
      </w:r>
      <w:bookmarkEnd w:id="23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4" w:id="24"/>
      <w:r>
        <w:t xml:space="preserve">9. Portal</w:t>
      </w:r>
      <w:bookmarkEnd w:id="2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10. Operação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6" w:id="26"/>
      <w:r>
        <w:t xml:space="preserve">Configuração, uma vez</w:t>
      </w:r>
      <w:bookmarkEnd w:id="26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7" w:id="27"/>
      <w:r>
        <w:t xml:space="preserve">Comandos locais</w:t>
      </w:r>
      <w:bookmarkEnd w:id="27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8" w:id="28"/>
      <w:r>
        <w:t xml:space="preserve">Limites</w:t>
      </w:r>
      <w:bookmarkEnd w:id="28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29" w:id="29"/>
      <w:r>
        <w:t xml:space="preserve">11. Verificação</w:t>
      </w:r>
      <w:bookmarkEnd w:id="2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0" w:id="30"/>
      <w:r>
        <w:t xml:space="preserve">12. Próximos passos e riscos</w:t>
      </w:r>
      <w:bookmarkEnd w:id="3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2026-10-21T10:18:05.814Z</dcterms:created>
  <dcterms:modified xsi:type="dcterms:W3CDTF">2026-10-21T10:18:05.816Z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