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Requisitos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Requisitos funcionais e não-funcionais, numerados e rastreáveis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início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requisito tem um código único e permanente. Códigos não são reaproveitados: se um requisito for removido, seu código é aposentado. O prefixo indica o módulo, o que permite rastrear um requisito até o caso de uso (DOC-03), o componente de arquitetura (DOC-04) e o teste que o cobre (DOC-09).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2600"/>
        <w:gridCol w:w="5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Prefixo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dados brutos das fontes e preservá-los como prova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Converter qualquer fonte para o esquema canônico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Agregar contexto: societário, catálogo, grupo de pares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regras e produzir indícios com evidência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Conformidade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cumprimento das obrigações de transparência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 dados e indícios ao público com linguagem controlada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Direito de resposta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Receber, tratar e publicar contestações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Operar o sistema: fontes, regras, revisão, auditoria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Não-funcional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Qualidades transversais do sistema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coluna Prioridade usa MoSCoW: M obrigatório para a versão 1.0, S importante, C desejável, W adiado para versão futura.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Requisitos funcionais</w:t>
      </w:r>
    </w:p>
    <w:p>
      <w:pPr>
        <w:pStyle w:val="Heading2"/>
        <w:keepNext/>
        <w:keepLines/>
        <w:spacing w:after="120" w:before="280"/>
      </w:pPr>
      <w:r>
        <w:t xml:space="preserve">2.1 Módulo de Coleta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contratações, contratos, atas e planos de contratação do PNCP por data de publicação e por data de atualização global, suportando coleta incremental.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RREO, RGF e DCA do SICONFI para todos os entes e exercícios disponíveis.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despesas, convênios, emendas parlamentares e cadastros de sanção do Portal da Transparência da CGU.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ingerir a base pública de CNPJ da Receita Federal, incluindo quadro societário, CNAE e capital social.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coleta deve armazenar o artefato bruto exatamente como recebido, sem qualquer transformação.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artefato bruto deve ser gravado com URL de origem, hash SHA-256, carimbo de tempo e cabeçalhos de resposta.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devem ser imutáveis. Nova coleta da mesma URL gera nova versão, nunca sobrescrita.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respeitar limites de taxa configuráveis por fonte, com valor padrão conservador.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identificar-se em todas as requisições com User-Agent próprio contendo nome do projeto e canal de contato.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suportar conectores declarativos, definidos em arquivo de especificação, sem necessidade de novo código.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extrair dados estruturados de PDF, incluindo PDF baseado em imagem, por meio de OCR.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extrair dados de planilhas XLSX, XLS, CSV e de tabelas em HTML.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upload manual supervisionado de documentos obtidos por pedido de acesso à informação.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Falha de coleta deve ser registrada com causa classificada, distinguindo indisponibilidade temporária de ausência de publicação.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retentar coletas falhas com espera exponencial e limite máximo de tentativas por janela.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não deve tentar contornar CAPTCHA, autenticação ou qualquer controle técnico de acesso.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mudança de esquema na fonte e alarmar sem interromper a coleta das demais fontes.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dados de doações e candidaturas do repositório de dados abertos do TSE.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2.2 Módulo de Normalização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converter todo dado coletado para o esquema canônico definido no DOC-05.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registro normalizado deve manter referência ao artefato bruto que o originou.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resolver identidade de fornecedores por CNPJ raiz e filial, tratando grafias divergentes de razão social.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resolver identidade de entes por código IBGE e CNPJ, tratando variações de nome.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deduplicar registros que apareçam em mais de uma fonte, preservando a proveniência de cada ocorrência.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normalizar valores monetários, datas e unidades de medida para formatos únicos.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classificar itens contratados segundo catálogo de referência, permitindo comparação entre entes.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Registros que não passem nas regras de qualidade devem ser isolados em quarentena, com o motivo, sem bloquear o lote.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aplicar classificação de sensibilidade a cada campo, conforme política do DOC-08.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mascarar documentos de pessoa física antes de qualquer gravação em camada consultável.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normalização deve ser idempotente: reprocessar o mesmo artefato produz exatamente o mesmo resultado.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reprocessar todo o histórico a partir da camada bruta, sem recoletar das fontes.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2.3 Módulo de Enriquecimento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vincular cada fornecedor ao seu quadro societário, CNAE principal, capital social e data de abertura.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calcular, para cada ente, um grupo de pares com base em porte populacional, região e receita corrente líquida.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manter séries históricas por ente, fornecedor e item para servir de linha de base.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medianas de preço unitário por item, região e período.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identificar sócios em comum entre fornecedores distintos.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vincular fornecedores a sanções vigentes nos cadastros CEIS, CNEP e CEPIM.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o agente público signatário de cada ato autorizativo, quando publicado pela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o amparo legal invocado em cada contratação, quando publicado pela fonte.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2.4 Módulo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executar o catálogo de regras definido no DOC-07 sobre a base normalizada.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regra deve ser versionada, e cada indício deve registrar a versão da regra que o produziu.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indício deve registrar os parâmetros usados e os valores de entrada que levaram ao disparo.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indício deve referenciar ao menos um documento fonte com hash verificável.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valores atípicos para cima, comparando preço unitário com a mediana do mesmo item.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fracionamento de despesa por agregação de contratações de mesmo objeto e fornecedor em janela temporal.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anômala de valores imediatamente abaixo de limite legal de dispensa.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de contratos em um único fornecedor por ente e categoria.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contratação de fornecedor com sanção vigente na data do ato.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fornecedor constituído em prazo muito curto antes da contratação.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incompatibilidade entre CNAE do fornecedor e objeto contratado.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aplicar teste de aderência à Lei de Benford sobre conjuntos de valores por ente e período.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desvio relevante de gasto per capita em relação ao grupo de pares.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atípica de empenhos no encerramento do exercício.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aditivos que elevem o valor do contrato acima dos percentuais previstos em lei.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um score composto e uma severidade para cada indício.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do motor de regras com severidade acima do limiar configurado devem entrar obrigatoriamente em fila de revisão humana antes de qualquer publicação. Os avisos do portal (ADR-047) ficam fora: vão a público com ressalva e a revisão vem com a contestação.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simular uma regra sobre dados históricos sem publicar resultado, para calibração.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indícios descartados com o motivo, para realimentar a calibração das regras.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RF-DE-20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não deve produzir, em nenhum campo, texto que afirme ou sugira a ocorrência de ilícito.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2.5 Módulo de Conformidade de Transparência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verificar, por ente, a existência de publicação nas fontes federais obrigatórias.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 a atualidade da publicação em relação à periodicidade exigida pela legislação.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classificar o formato de publicação quanto à legibilidade por máquina.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 a presença dos campos mínimos exigidos pela Lei de Acesso à Informação.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um índice de conformidade por ente, com metodologia pública e auditável.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ausência de dado obrigatório deve gerar indício de descumprimento, com citação do dispositivo legal.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índice deve distinguir explicitamente indisponibilidade técnica temporária de ausência persistente de publicação.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manter histórico do índice, permitindo observar evolução ou deterioração ao longo do tempo.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2.6 Módulo de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painel por ente com panorama de contratações, despesas e conformidade.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busca por ente, fornecedor, objeto, valor, período e modalidade.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de indício deve exibir a regra aplicada, os parâmetros e o link para o documento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deve ser exibido com rótulo padronizado de atividade para análise.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comparação entre o ente e seu grupo de pares.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exportação em CSV e Parquet dos dados normalizados consultados.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gerar dossiê em PDF com o indício, sua evidência e os documentos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API pública documentada, com versionamento e limite de taxa.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que o usuário acompanhe um ente e receba alerta de novos indícios.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pública deve exibir aviso metodológico e link para a metodologia completa.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publicar erratas e remoções com o mesmo destaque da publicação original.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a data da última coleta bem-sucedida em cada visão de dados.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2.7 Módulo de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canal público para que ente ou fornecedor registre contestação a um indício.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deve permitir anexar documentos comprobatórios.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indício contestado deve ser marcado publicamente como contestado em até 24 horas do registro.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deve ser exibida junto ao indício original, de forma permanente.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reexecutar a regra considerando os documentos apresentados na contestação.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Comprovado erro do sistema, o indício deve ser retificado ou removido e a correção publicada.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prazo e desfecho de cada contestação, com métricas públicas de atendimento.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2.8 Módulo de Administração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cadastrar e editar fontes de dados por especificação declarativa.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ajustar parâmetros de uma regra e versioná-la automaticamente.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fila de revisão priorizada por severidade e antiguidade.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ação de revisor deve ser registrada em trilha de auditoria imutável, com autor, data e justificativa.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painel operacional com saúde das coletas, atrasos e taxa de falha por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reprocessar um período ou uma fonte específica sob demanda.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acesso administrativo deve exigir autenticação com segundo fator.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suportar perfis distintos de revisor e administrador, com permissões separadas.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Requisitos não-funcionais</w:t>
      </w:r>
    </w:p>
    <w:p>
      <w:pPr>
        <w:pStyle w:val="Heading2"/>
        <w:keepNext/>
        <w:keepLines/>
        <w:spacing w:after="120" w:before="280"/>
      </w:pPr>
      <w:r>
        <w:t xml:space="preserve">3.1 Desempenho e escala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6100"/>
        <w:gridCol w:w="24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de resposta da busca pública no percentil 95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2 segundos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de resposta da API pública no percentil 95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800 ms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suportado na camada analítica sem redesenho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bilhões de linhas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execução do ciclo completo de detecção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12 horas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Defasagem entre publicação na fonte e disponibilidade no Lumen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72 horas para fontes com API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Capacidade de reprocessamento integral do histórico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7 dias corridos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3.2 Confiabilidade e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6100"/>
        <w:gridCol w:w="24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 do portal público e da API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99,0% mensal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RNF-08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Perda de artefato bruto já coletado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Zero, com replicação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RNF-09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Falha em uma fonte não pode interromper as demais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Isolamento por fonte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RNF-10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Recuperação da camada analítica a partir da camada bruta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Sempre possível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RNF-11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para detectar falha sistemática de coleta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6 horas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3.3 Segurança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RNF-12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acesso administrativo deve usar autenticação com segundo fator e sessão com expiração.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RNF-13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Credenciais de API de terceiros devem ser armazenadas em cofre de segredos, nunca no repositório.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RNF-14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tráfego externo deve usar TLS 1.2 ou superior.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RNF-15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trilha de auditoria deve ser somente-anexação, sem permissão de alteração ou exclusão pela aplicação.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RNF-16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Backups devem ser cifrados em repouso e testados por restauração periódica.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RNF-17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e limitar tentativas de acesso administrativo malsucedidas.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3.4 Privacidade e conformidade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RNF-18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campo do esquema canônico deve ter classificação de sensibilidade atribuída.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RNF-19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pessoais de cidadãos não agentes públicos não podem ser expostos em nível individual.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RNF-20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 de pessoa física devem ser mascarados em qualquer exibição ou exportação.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RNF-21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Deve existir procedimento documentado de atendimento a solicitação de titular de dados.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RNF-22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base legal do tratamento deve estar documentada e vinculada a cada categoria de dado.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3.5 Auditabilidade e reprodutibilidade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indício publicado deve ser reproduzível por terceiro a partir dos dados públicos e da especificação da regra.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metodologia de cada regra deve ser publicada em linguagem acessível junto ao portal.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transformação de dado deve registrar linhagem, permitindo rastrear do indício ao artefato bruto.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de regra e de esquema devem ser explicitamente registradas em cada execução.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3.6 Manutenibilidade e custo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uma fonte que siga padrão já suportado não deve exigir alteração no núcleo do sistema.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de testes automatizados no núcleo de domínio e no motor de regras: mínimo de 80%.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custo mensal de infraestrutura na fase 1 deve permanecer compatível com operação de equipe reduzida.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RNF-30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poder ser executado integralmente em ambiente local para desenvolvimento e teste.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RNF-31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componente proprietário sem alternativa aberta equivalente pode ser dependência crítica.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Matriz de rastreabilidade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matriz vincula objetivos do produto (DOC-01) a requisitos e casos de uso (DOC-03). Ela é mantida atualizada a cada mudança de escopo e serve de base para o planejamento de testes.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5300"/>
        <w:gridCol w:w="30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Requisitos principais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OBJ-01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RF-CO-01, RF-CO-05 a RF-CO-09, RF-NO-01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OBJ-02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RF-CO-02, RF-NO-01, RF-NO-04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OBJ-03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RF-NO-01 a RF-NO-12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OBJ-04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RF-DE-05 a RF-DE-15, RF-DE-16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UC-13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RF-EN-07, RF-EN-08, RF-CO-01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UC-01, UC-03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OBJ-06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 a RF-CF-08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UC-07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OBJ-07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RF-CO-05, RF-CO-06, RF-DE-04, RNF-23, RNF-25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UC-05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OBJ-08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 a RF-DR-07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UC-11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Critérios de aceitação da versão 1.0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versão 1.0 só é considerada pronta quando todos os critérios abaixo forem verificados e documentados. Nenhum critério é dispensável por pressão de prazo.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requisitos de prioridade M estão implementados e cobertos por teste automatizado.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Uma amostra aleatória de 100 indícios publicados foi revisada manualmente e a taxa de falso positivo confirmado ficou abaixo do limite definido no DOC-07.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indício da amostra possui documento fonte recuperável e com hash conferido.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verificador de vocabulário controlado executa na integração contínua e nenhuma violação está presente na base.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fluxo de direito de resposta foi testado ponta a ponta, incluindo publicação de errata.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metodologia de todas as regras ativas está publicada e acessível ao público.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plano de resposta a incidente de privacidade está documentado e um teste de mesa foi realizado.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 procedimento de restauração testado para a camada bruta e para o banco de domínio.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DOC-02 Requisitos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DOC-02 - Requisitos</dc:title>
  <dc:creator>Projeto Lumen</dc:creator>
  <dc:description>Requisitos funcionais e não-funcionais, numerados e rastreáveis</dc:description>
  <cp:lastModifiedBy>Un-named</cp:lastModifiedBy>
  <cp:revision>1</cp:revision>
  <dcterms:created xsi:type="dcterms:W3CDTF">2026-10-21T11:07:46.348Z</dcterms:created>
  <dcterms:modified xsi:type="dcterms:W3CDTF">2026-10-21T11:07:46.349Z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