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2.6</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21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bookmarkStart w:name="_Toc1" w:id="1"/>
      <w:r>
        <w:t xml:space="preserve">Sumário</w:t>
      </w:r>
      <w:bookmarkEnd w:id="1"/>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pPr>
            <w:pStyle w:val="TOC1"/>
            <w:tabs>
              <w:tab w:val="right" w:pos="9638" w:leader="dot"/>
            </w:tabs>
          </w:pPr>
          <w:r>
            <w:fldChar w:fldCharType="begin" w:dirty="true"/>
            <w:instrText xml:space="preserve">TOC \h \o "1-3"</w:instrText>
            <w:fldChar w:fldCharType="separate"/>
          </w:r>
          <w:hyperlink w:history="1" w:anchor="_Toc1">
            <w:r>
              <w:t xml:space="preserve">Sumário</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Estratégia de cobertura</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Camada 1 — Fontes federais estruturadas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PNCP — Portal Nacional de Contratações Públicas</w:t>
            </w:r>
            <w:r>
              <w:tab/>
            </w:r>
            <w:r>
              <w:fldChar w:fldCharType="begin" w:dirty="true"/>
              <w:instrText xml:space="preserve">PAGEREF _Toc4 \h</w:instrText>
              <w:fldChar w:fldCharType="separate"/>
              <w:fldChar w:fldCharType="end"/>
            </w:r>
          </w:hyperlink>
        </w:p>
        <w:p>
          <w:pPr>
            <w:pStyle w:val="TOC3"/>
            <w:tabs>
              <w:tab w:val="right" w:pos="9638" w:leader="dot"/>
            </w:tabs>
            <w:ind w:left="440"/>
          </w:pPr>
          <w:hyperlink w:history="1" w:anchor="_Toc5">
            <w:r>
              <w:t xml:space="preserve">Recursos relevantes</w:t>
            </w:r>
            <w:r>
              <w:tab/>
            </w:r>
            <w:r>
              <w:fldChar w:fldCharType="begin" w:dirty="true"/>
              <w:instrText xml:space="preserve">PAGEREF _Toc5 \h</w:instrText>
              <w:fldChar w:fldCharType="separate"/>
              <w:fldChar w:fldCharType="end"/>
            </w:r>
          </w:hyperlink>
        </w:p>
        <w:p>
          <w:pPr>
            <w:pStyle w:val="TOC3"/>
            <w:tabs>
              <w:tab w:val="right" w:pos="9638" w:leader="dot"/>
            </w:tabs>
            <w:ind w:left="440"/>
          </w:pPr>
          <w:hyperlink w:history="1" w:anchor="_Toc6">
            <w:r>
              <w:t xml:space="preserve">Comportamento real observado (outubro de 2026)</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2.2 SICONFI — Tesouro Nacional</w:t>
            </w:r>
            <w:r>
              <w:tab/>
            </w:r>
            <w:r>
              <w:fldChar w:fldCharType="begin" w:dirty="true"/>
              <w:instrText xml:space="preserve">PAGEREF _Toc7 \h</w:instrText>
              <w:fldChar w:fldCharType="separate"/>
              <w:fldChar w:fldCharType="end"/>
            </w:r>
          </w:hyperlink>
        </w:p>
        <w:p>
          <w:pPr>
            <w:pStyle w:val="TOC3"/>
            <w:tabs>
              <w:tab w:val="right" w:pos="9638" w:leader="dot"/>
            </w:tabs>
            <w:ind w:left="440"/>
          </w:pPr>
          <w:hyperlink w:history="1" w:anchor="_Toc8">
            <w:r>
              <w:t xml:space="preserve">Comportamento real observado (outubro de 2026)</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2.3 Portal da Transparência — CGU</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2.4 Receita Federal — base pública de CNPJ</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2.5 Demais fontes federais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2.6 TSE — resultados eleitorais (aba Eleições)</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2.7 IBGE — localidades, população e malhas</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2.8 Referência de mercado de fora do governo (regra A-05)</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3. Camada 2 — Estados e tribunais de contas</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3.1 Levantamento dos tribunais de contas (21/10/2026, ADR-050)</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4. Camada 3 — Municípios</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4.1 Abordagem por família de plataforma</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4.2 Cauda longa</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4.3 Especificação declarativa de fonte</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5. Política de coleta responsável</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6. Matriz de cobertura esperada por fase</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7. Situação da integração (outubro de 2026)</w:t>
            </w:r>
            <w:r>
              <w:tab/>
            </w:r>
            <w:r>
              <w:fldChar w:fldCharType="begin" w:dirty="true"/>
              <w:instrText xml:space="preserve">PAGEREF _Toc23 \h</w:instrText>
              <w:fldChar w:fldCharType="separate"/>
              <w:fldChar w:fldCharType="end"/>
            </w:r>
          </w:hyperlink>
        </w:p>
        <w:p>
          <w:pPr>
            <w:pStyle w:val="TOC1"/>
            <w:tabs>
              <w:tab w:val="right" w:pos="9638" w:leader="dot"/>
            </w:tabs>
          </w:pPr>
          <w:hyperlink w:history="1" w:anchor="_Toc24">
            <w:r>
              <w:t xml:space="preserve">8. Registro de fontes</w:t>
            </w:r>
            <w:r>
              <w:tab/>
            </w:r>
            <w:r>
              <w:fldChar w:fldCharType="begin" w:dirty="true"/>
              <w:instrText xml:space="preserve">PAGEREF _Toc24 \h</w:instrText>
              <w:fldChar w:fldCharType="separate"/>
              <w:fldChar w:fldCharType="end"/>
            </w:r>
          </w:hyperlink>
        </w:p>
        <w:p>
          <w:r>
            <w:fldChar w:fldCharType="end"/>
          </w:r>
        </w:p>
      </w:sdtContent>
    </w:sdt>
    <w:p>
      <w:r>
        <w:br w:type="page"/>
      </w:r>
    </w:p>
    <w:p>
      <w:pPr>
        <w:pStyle w:val="Heading1"/>
        <w:keepNext/>
        <w:keepLines/>
        <w:spacing w:after="160" w:before="380"/>
      </w:pPr>
      <w:bookmarkStart w:name="_Toc2" w:id="2"/>
      <w:r>
        <w:t xml:space="preserve">1. Estratégia de cobertura</w:t>
      </w:r>
      <w:bookmarkEnd w:id="2"/>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bookmarkStart w:name="_Toc3" w:id="3"/>
      <w:r>
        <w:t xml:space="preserve">2. Camada 1 — Fontes federais estruturadas</w:t>
      </w:r>
      <w:bookmarkEnd w:id="3"/>
    </w:p>
    <w:p>
      <w:pPr>
        <w:pStyle w:val="Heading2"/>
        <w:keepNext/>
        <w:keepLines/>
        <w:spacing w:after="120" w:before="280"/>
      </w:pPr>
      <w:bookmarkStart w:name="_Toc4" w:id="4"/>
      <w:r>
        <w:t xml:space="preserve">2.1 PNCP — Portal Nacional de Contratações Públicas</w:t>
      </w:r>
      <w:bookmarkEnd w:id="4"/>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bookmarkStart w:name="_Toc5" w:id="5"/>
      <w:r>
        <w:t xml:space="preserve">Recursos relevantes</w:t>
      </w:r>
      <w:bookmarkEnd w:id="5"/>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bookmarkStart w:name="_Toc6" w:id="6"/>
      <w:r>
        <w:t xml:space="preserve">Comportamento real observado (outubro de 2026)</w:t>
      </w:r>
      <w:bookmarkEnd w:id="6"/>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bookmarkStart w:name="_Toc7" w:id="7"/>
      <w:r>
        <w:t xml:space="preserve">2.2 SICONFI — Tesouro Nacional</w:t>
      </w:r>
      <w:bookmarkEnd w:id="7"/>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bookmarkStart w:name="_Toc8" w:id="8"/>
      <w:r>
        <w:t xml:space="preserve">Comportamento real observado (outubro de 2026)</w:t>
      </w:r>
      <w:bookmarkEnd w:id="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exige o tipo do demonstrativo: RREO ou RREO Simplificado (municípios com menos de 50 mil habitantes podem optar, LRF art. 63), e cada ente publica só um. O porte não diz qual: em 2025, quase todos os pequenos de Roraima e do Amapá publicaram o completo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tipo vem do extrato de entregas ("Relatório Resumido de Execução Orçamentária" ou "… Simplificado", no 6º bimestre); uma consulta por ente</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/dca, Anexo I-E: despesa por função de cada ano, de 2014 em diante (2013 vem vazio); até 2016 o total se chama "Despesas (Exceto Intraorçamentárias)", com parênteses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Lida sob demanda no portal, pelo endereço /api/siconfi/dca, que a Vercel repassa (a API não aceita pedido de outro site): governos municipais (ADR-040)</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da União (id_ente=1), Anexo 1: receita realizada (coluna "Até o Bimestre (c)") de 2015 em diante; o nome das contas muda, o código não; o bloco das intraorçamentárias tem códigos próprios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As partes da receita corrente somam o total (conferido em toda leitura); em bilhões de reais corrigidos pelo IPCA na Economia (ADR-033)</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RREO da União (id_ente=1), Anexo 2: despesa por função de 2015 em diante; funções e subfunções na mesma lista, sem marcação; a coluna da liquidada mudou de nome em 2016 e, depois, as funções se repetem num bloco das intraorçamentárias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As 28 funções da Portaria 42/1999 somam o total (conferido em toda leitura); em bilhões de reais corrigidos pelo IPCA na Economia (ADR-033)</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A RCL fica no Anexo 03, conta RREO3ReceitaCorrenteLiquida, coluna TOTAL (ÚLTIMOS 12 MESES); a resposta do anexo tem perto de 430 linhas por ente, com valores numéricos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Cada linha vira LinhaDemonstrativo; a RCL do exercício anterior entra nos grupos de pares (ADR-038, versão 2)</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bookmarkStart w:name="_Toc9" w:id="9"/>
      <w:r>
        <w:t xml:space="preserve">2.3 Portal da Transparência — CGU</w:t>
      </w:r>
      <w:bookmarkEnd w:id="9"/>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da API</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 (cabeçalho chave-api-dados; 15 registros por página)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Arquivos de dados abertos</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https://portaldatransparencia.gov.br/download-de-dados/&lt;conjunto&gt;/AAAAMMDD, que redireciona para dadosabertos-download.cgu.gov.br; ZIP com um CSV em ISO-8859-1, separado por ;</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API: token gratuito, obtido por cadastro de e-mail. Arquivos: nenhuma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API: 400 requisições por minuto entre 6h e 23h59; 700 entre 0h e 5h59. Arquivos: o Lumen faz duas requisições por cadastro e por dia, com limite de 10 por minuto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 (23.787 sanções em 15/10/2026)</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(cgu_ceis, ADR-030); regra J-01 na Fase 2</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 pela Lei 12.846/2013 (1.840)</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Coletado (cgu_cnep); regra J-01 na Fase 2</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 (3.521)</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(cgu_cepim); 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spacing w:after="120"/>
      </w:pPr>
      <w:r>
        <w:rPr>
          <w:b w:val="false"/>
          <w:bCs w:val="false"/>
          <w:i w:val="false"/>
          <w:iCs w:val="false"/>
        </w:rPr>
        <w:t xml:space="preserve">CEIS, CNEP e CEPIM vêm dos arquivos de dados abertos, e não da API (ADR-030). Cada arquivo é o retrato do cadastro inteiro num dia; a página de download declara a data do mais recente, que em 16/10/2026 era 15/10 no CEIS e no CNEP e 14/10 no CEPIM. Comportamento observado em 16/10/2026: o CEIS publica o CPF inteiro das pessoas físicas sancionadas (9.170 linhas), que o Lumen mascara na normalização; "Sem Informação" marca campo não informado; há sanções com prazo determinado que terminam em 31/12/2099; sancionados estrangeiros vêm sem tipo de pessoa e com documento de 7 a 9 dígitos; o CEPIM não tem datas nem código da sanção.</w:t>
      </w:r>
    </w:p>
    <w:p>
      <w:pPr>
        <w:pStyle w:val="Heading2"/>
        <w:keepNext/>
        <w:keepLines/>
        <w:spacing w:after="120" w:before="280"/>
      </w:pPr>
      <w:bookmarkStart w:name="_Toc10" w:id="10"/>
      <w:r>
        <w:t xml:space="preserve">2.4 Receita Federal — base pública de CNPJ</w:t>
      </w:r>
      <w:bookmarkEnd w:id="10"/>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p>
      <w:pPr>
        <w:spacing w:after="120"/>
      </w:pPr>
      <w:r>
        <w:rPr>
          <w:b w:val="false"/>
          <w:bCs w:val="false"/>
          <w:i w:val="false"/>
          <w:iCs w:val="false"/>
        </w:rPr>
        <w:t xml:space="preserve">Desde 2026, a base fica num compartilhamento do Nextcloud da Receita, uma pasta por mês, lida pelo WebDAV público (37 arquivos e 7,8 GB compactados em outubro de 2026). O Lumen lê só os fornecedores dos contratos do painel, toda semana, sem o CPF dos sócios, o endereço, o telefone e o e-mail; a razão social do MEI traz o CPF do titular, mascarado na leitura (ADR-043).</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bookmarkStart w:name="_Toc11" w:id="11"/>
      <w:r>
        <w:t xml:space="preserve">2.5 Demais fontes federais</w:t>
      </w:r>
      <w:bookmarkEnd w:id="1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PNTP — Radar da Transparência (tribunais de contas e Atricon)</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Avaliação anual dos portais de transparência de 11.697 entidades (2025), com o endereço do portal; base por ciclo em ZIP, lida por Range (ADR-032)</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 uso (pntp_avaliacoes)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bookmarkStart w:name="_Toc12" w:id="12"/>
      <w:r>
        <w:t xml:space="preserve">2.6 TSE — resultados eleitorais (aba Eleições)</w:t>
      </w:r>
      <w:bookmarkEnd w:id="12"/>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bookmarkStart w:name="_Toc13" w:id="13"/>
      <w:r>
        <w:t xml:space="preserve">2.7 IBGE — localidades, população e malhas</w:t>
      </w:r>
      <w:bookmarkEnd w:id="13"/>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6579 (população estimada; n1 e n6) e tabela 4709 (Censo 2022)</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População do país na Economia e de cada município nos governos municipais (ADR-040), com as quebras de método de 2013 e 2024</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6390, variável 5933</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Rendimento médio real habitual da PNAD Contínua na área Economia, por trimestre móvel; recalculado inteiro a cada divulgação, por isso a série é regravada a cada coleta (ADR-033)</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Notícias v3 (releases)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servicodados.ibge.gov.br/api/v3/noticias, tipo=release e idproduto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Releases da Agência de Notícias ao lado do IPCA, do INPC e do PIB na área Economia (ADR-033, adendo de 20/10/2026); data como dd/mm/aaaa hh:mm:ss e link em http</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bookmarkStart w:name="_Toc14" w:id="14"/>
      <w:r>
        <w:t xml:space="preserve">2.8 Referência de mercado de fora do governo (regra A-05)</w:t>
      </w:r>
      <w:bookmarkEnd w:id="14"/>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gov.br/anp/.../dsas/glp/glp-AAAA-0S.csv, sempre .csv, desde 2004 (2021-1 é precos-semestrais-glp2021-01.csv e 2022-1, precos-semestrais-glp-2022-01.csv)</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(cerca de 1,8 MB e 20 mil coletas), posto a posto, com combustíveis e GLP: sete linhas de título antes do cabeçalho, CNPJ só com dígitos (às vezes sem o zero à esquerda), UF pelo nome do estado, preço como número e data como número de série do Excel, nomes de produto próprios (GASOLINA COMUM, DIESEL S500). O nome do arquivo não segue padrão fixo (2026-08-30-2026-09-5): os endereços são tirados da página, que em outubro de 2026 citava 192 semanas, de setembro de 2022 em diante.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sem credencial responde 403 (visto em 9/10/2026), e o token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bookmarkStart w:name="_Toc15" w:id="15"/>
      <w:r>
        <w:t xml:space="preserve">3. Camada 2 — Estados e tribunais de contas</w:t>
      </w:r>
      <w:bookmarkEnd w:id="15"/>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2"/>
        <w:keepNext/>
        <w:keepLines/>
        <w:spacing w:after="120" w:before="280"/>
      </w:pPr>
      <w:bookmarkStart w:name="_Toc16" w:id="16"/>
      <w:r>
        <w:t xml:space="preserve">3.1 Levantamento dos tribunais de contas (21/10/2026, ADR-050)</w:t>
      </w:r>
      <w:bookmarkEnd w:id="16"/>
    </w:p>
    <w:p>
      <w:pPr>
        <w:spacing w:after="120"/>
      </w:pPr>
      <w:r>
        <w:rPr>
          <w:b w:val="false"/>
          <w:bCs w:val="false"/>
          <w:i w:val="false"/>
          <w:iCs w:val="false"/>
        </w:rPr>
        <w:t xml:space="preserve">Os 32 tribunais que fiscalizam municípios foram levantados com as APIs e os downloads testados. A tabela completa está na wiki, página "Tribunais de contas". Em resumo: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4600"/>
        <w:gridCol w:w="20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Tribunais</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Municípios</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Licitações ou contratos em lote, sem chave</w:t>
            </w:r>
          </w:p>
        </w:tc>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TCE-SP (desde 2018), TCE-RS (2016), TCE-PR (2013), TCE-PE (2011), TCE-CE (2003), TCE-RJ (2020), TCE-ES (2022)</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Perto de 2.080</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Lote aberto, incompleto ou com obstáculo</w:t>
            </w:r>
          </w:p>
        </w:tc>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TCE-PB (sem contratos), TCE-MA (SACOP por API interna), TCE-TO, TCE-AM (sem CNPJ), TCM-PA (só o mural)</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Perto de 790</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Atrás de captcha, token ou só em tela</w:t>
            </w:r>
          </w:p>
        </w:tc>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TCE-MG, TCM-BA, TCE-SC, TCM-GO, TCE-MT</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Perto de 1.850</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Nada aberto sobre os municípios</w:t>
            </w:r>
          </w:p>
        </w:tc>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Os demais; a API do TCE-RN estava fora do ar</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r>
    </w:tbl>
    <w:p>
      <w:pPr>
        <w:spacing w:after="120"/>
      </w:pPr>
      <w:r>
        <w:rPr>
          <w:b w:val="false"/>
          <w:bCs w:val="false"/>
          <w:i w:val="false"/>
          <w:iCs w:val="false"/>
        </w:rPr>
        <w:t xml:space="preserve">Ordem de integração: TCE-RS (em uso desde 21/10/2026: contratos de 2016 em diante, lidos por partes no servidor), TCE-SP, TCE-PR (em uso desde 21/10/2026: contratos de 2013 em diante, município a município), TCE-PE (em uso desde 21/10/2026: contratos de 2013 em diante, pela API) e TCE-CE (em uso desde 29/10/2026: contratos de 2003 em diante, pela API do SIM), perto de 1.900 municípios. Para os cinco atrás de captcha ou token, pedido formal de acesso automatizado ou pela Lei de Acesso à Informação; o do TCE-MT antes de 2027, quando 2021 sai da janela de seis anos do Radar.</w:t>
      </w:r>
    </w:p>
    <w:p>
      <w:pPr>
        <w:pStyle w:val="Heading1"/>
        <w:keepNext/>
        <w:keepLines/>
        <w:spacing w:after="160" w:before="380"/>
      </w:pPr>
      <w:bookmarkStart w:name="_Toc17" w:id="17"/>
      <w:r>
        <w:t xml:space="preserve">4. Camada 3 — Municípios</w:t>
      </w:r>
      <w:bookmarkEnd w:id="17"/>
    </w:p>
    <w:p>
      <w:pPr>
        <w:pStyle w:val="Heading2"/>
        <w:keepNext/>
        <w:keepLines/>
        <w:spacing w:after="120" w:before="280"/>
      </w:pPr>
      <w:bookmarkStart w:name="_Toc18" w:id="18"/>
      <w:r>
        <w:t xml:space="preserve">4.1 Abordagem por família de plataforma</w:t>
      </w:r>
      <w:bookmarkEnd w:id="18"/>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bookmarkStart w:name="_Toc19" w:id="19"/>
      <w:r>
        <w:t xml:space="preserve">4.2 Cauda longa</w:t>
      </w:r>
      <w:bookmarkEnd w:id="19"/>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bookmarkStart w:name="_Toc20" w:id="20"/>
      <w:r>
        <w:t xml:space="preserve">4.3 Especificação declarativa de fonte</w:t>
      </w:r>
      <w:bookmarkEnd w:id="20"/>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bookmarkStart w:name="_Toc21" w:id="21"/>
      <w:r>
        <w:t xml:space="preserve">5. Política de coleta responsável</w:t>
      </w:r>
      <w:bookmarkEnd w:id="21"/>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Limite da fonte (429)</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Resposta 429 reduz a vazão da fonte pela metade pelo resto da sessão e espera ao menos 30 s antes de repetir; só conta como falha quando a última tentativa também recebe 429. O PNCP respondeu 429 a 60 requisições por minuto a partir do GitHub Actions em outubro de 2026</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Compressão de transporte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Resposta com Content-Encoding gzip ou deflate é descomprimida antes do bronze, com o limite de tamanho aplicado ao documento descomprimido (a API do IBGE comprime mesmo sem pedido)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bookmarkStart w:name="_Toc22" w:id="22"/>
      <w:r>
        <w:t xml:space="preserve">6. Matriz de cobertura esperada por fase</w:t>
      </w:r>
      <w:bookmarkEnd w:id="22"/>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bookmarkStart w:name="_Toc23" w:id="23"/>
      <w:r>
        <w:t xml:space="preserve">7. Situação da integração (outubro de 2026)</w:t>
      </w:r>
      <w:bookmarkEnd w:id="23"/>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e normalização prontos (LinhaDemonstrativo)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RCL de todos os entes (Anexo 03 do RREO) despesa por função de todos os entes (Anexo I-E da DCA, ADR-041) e despesa com pessoal do Executivo (Anexo 1 do RGF, ADR-042), coletadas todo dia, só as que faltam; demais anexos sob demanda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CEIS, CNEP, CEPIM, emendas parlamentares e convênios em uso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Pelos arquivos de dados abertos, sem chave (ADR-030, ADR-044 e ADR-045); transferências e despesas pendentes, pelo mesmo caminho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Em uso para os fornecedores dos contratos (ADR-043)</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pelo WebDAV do compartilhamento; semanal;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formato real conferido na primeira execução do fluxo mercado-referencia (9/10/2026), sem linha descartada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bookmarkStart w:name="_Toc24" w:id="24"/>
      <w:r>
        <w:t xml:space="preserve">8. Registro de fontes</w:t>
      </w:r>
      <w:bookmarkEnd w:id="24"/>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2026-10-29T14:50:32.157Z</dcterms:created>
  <dcterms:modified xsi:type="dcterms:W3CDTF">2026-10-29T14:50:32.158Z</dcterms:modified>
</cp:coreProperties>
</file>

<file path=docProps/custom.xml><?xml version="1.0" encoding="utf-8"?>
<Properties xmlns="http://schemas.openxmlformats.org/officeDocument/2006/custom-properties" xmlns:vt="http://schemas.openxmlformats.org/officeDocument/2006/docPropsVTypes"/>
</file>