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DOC-10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Roadmap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Fases, marcos, esforço, custos e critérios de replanejamento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aprovado, com a situação de cada fase em outubro de 2026 (seção 9)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outubro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Estratégia do plano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Visão geral do cronograma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Fases detalhadas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Fase 0 — Fundação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6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Fase 1 — Espinha dorsal nacional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8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Fase 2 — Motor de detecção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0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Fase 3 — Camada estadual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2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Fase 4 — Cauda longa municipal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4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Fase 5 — Publicação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6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Fase 6 — Consolidação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8">
            <w:r>
              <w:t xml:space="preserve">Entregáveis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4. Marcos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Esforço estimado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6. Custos recorrentes estimados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7. Decisões que precisam ser tomadas antes de começar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8. Critérios de replanejamento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9. Situação em 19 de outubro de 2026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9.1 Fase 0 — Fundação: concluída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9.2 Fase 1 — Espinha dorsal nacional: núcleo pronto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9.3 Trilha paralela: aba Eleições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9.4 Efeito no cronograma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9.5 Hospedagem sem custo (ADR-026)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Estratégia do plano</w:t>
      </w:r>
      <w:bookmarkEnd w:id="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plano é organizado por uma regra de priorização única: entregar cobertura nacional o mais cedo possível, e deixar para depois o trabalho que escala mal. Isso inverte a ordem intuitiva, que começaria por um município piloto e cresceria dali.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inversão se justifica porque as bases federais obrigatórias já concentram dados de praticamente todos os entes. Integrar o PNCP entrega, em semanas, o que a raspagem municipal levaria anos para alcançar. A cauda longa municipal não desaparece, mas deixa de ser o caminho crítico e passa a ser incremento sobre um sistema que já funciona em escala nacional.</w:t>
      </w:r>
    </w:p>
    <w:tbl>
      <w:tblPr>
        <w:tblW w:type="dxa" w:w="9600"/>
        <w:tblBorders>
          <w:top w:val="single" w:color="548235" w:sz="6"/>
          <w:left w:val="single" w:color="548235" w:sz="18"/>
          <w:bottom w:val="single" w:color="548235" w:sz="6"/>
          <w:right w:val="single" w:color="548235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EAF3E3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marco que muda o projeto de natureza</w:t>
            </w:r>
          </w:p>
          <w:p>
            <w:pPr>
              <w:spacing w:after="70"/>
            </w:pPr>
            <w:r>
              <w:t xml:space="preserve">Ao final da fase 2, aproximadamente cinco meses após o início, o sistema já detecta padrões sobre dados de alcance nacional. A partir desse ponto o projeto deixa de ser promessa e passa a produzir resultado verificável, o que muda completamente sua capacidade de atrair colaboradores, parceiros institucionais e atenção da imprensa.</w:t>
            </w:r>
          </w:p>
        </w:tc>
      </w:tr>
    </w:tbl>
    <w:tbl>
      <w:tblPr>
        <w:tblW w:type="dxa" w:w="9600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DCE6F1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Situação em 6 de outubro de 2026</w:t>
            </w:r>
          </w:p>
          <w:p>
            <w:pPr>
              <w:spacing w:after="70"/>
            </w:pPr>
            <w:r>
              <w:t xml:space="preserve">Fase 0 concluída (marco M1 verificado por teste). Fase 1 com o núcleo pronto: PNCP, SICONFI e IBGE coletados, normalizados e reconstruíveis a partir da prova. Aba Eleições pronta como trilha paralela. O detalhamento, com o que falta em cada fase, está na seção 9.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3" w:id="3"/>
      <w:r>
        <w:t xml:space="preserve">2. Visão geral do cronograma</w:t>
      </w:r>
      <w:bookmarkEnd w:id="3"/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6096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Cronograma de doze meses, da fundação à consolidação.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4" w:id="4"/>
      <w:r>
        <w:t xml:space="preserve">3. Fases detalhadas</w:t>
      </w:r>
      <w:bookmarkEnd w:id="4"/>
    </w:p>
    <w:p>
      <w:pPr>
        <w:pStyle w:val="Heading2"/>
        <w:keepNext/>
        <w:keepLines/>
        <w:spacing w:after="120" w:before="280"/>
      </w:pPr>
      <w:bookmarkStart w:name="_Toc5" w:id="5"/>
      <w:r>
        <w:t xml:space="preserve">Fase 0 — Fundação</w:t>
      </w:r>
      <w:bookmarkEnd w:id="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Mês 1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Estabelecer as bases técnicas e as decisões que serão difíceis de mudar depois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artefato de teste é coletado, armazenado com hash verificável e recuperado a partir do identificador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Excesso de tempo em infraestrutura; mitigado por limite rígido de um mês e escopo fechado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6" w:id="6"/>
      <w:r>
        <w:t xml:space="preserve">Entregáveis</w:t>
      </w:r>
      <w:bookmarkEnd w:id="6"/>
    </w:p>
    <w:p>
      <w:pPr>
        <w:pStyle w:val="ListParagraph"/>
        <w:numPr>
          <w:ilvl w:val="0"/>
          <w:numId w:val="2"/>
        </w:numPr>
        <w:spacing w:after="70"/>
      </w:pPr>
      <w:r>
        <w:t xml:space="preserve">Monorepo criado com a estrutura de pacotes do DOC-04 e integração contínua funcionando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Esquema canônico implementado com as entidades centrais do DOC-05 e primeira migração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Camada bronze operacional: armazenamento de objetos com hash, versionamento e imutabilidade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Verificador de vocabulário controlado implementado e integrado ao pipeline de CI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ADR-001 a ADR-010 registradas no repositório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Ambiente local completo executável por um único comando</w:t>
      </w:r>
    </w:p>
    <w:p>
      <w:pPr>
        <w:spacing w:after="160"/>
      </w:pPr>
    </w:p>
    <w:p>
      <w:pPr>
        <w:pStyle w:val="Heading2"/>
        <w:keepNext/>
        <w:keepLines/>
        <w:spacing w:after="120" w:before="280"/>
      </w:pPr>
      <w:bookmarkStart w:name="_Toc7" w:id="7"/>
      <w:r>
        <w:t xml:space="preserve">Fase 1 — Espinha dorsal nacional</w:t>
      </w:r>
      <w:bookmarkEnd w:id="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Meses 2 a 4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Obter cobertura nacional de contratações e dados fiscais integrando as bases federais obrigatórias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histórica de ao menos três exercícios concluída, com relatório de cobertura por ente e por UF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da carga histórica maior que o previsto; mitigado por coleta incremental e paralelismo por UF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8" w:id="8"/>
      <w:r>
        <w:t xml:space="preserve">Entregáveis</w:t>
      </w:r>
      <w:bookmarkEnd w:id="8"/>
    </w:p>
    <w:p>
      <w:pPr>
        <w:pStyle w:val="ListParagraph"/>
        <w:numPr>
          <w:ilvl w:val="0"/>
          <w:numId w:val="2"/>
        </w:numPr>
        <w:spacing w:after="70"/>
      </w:pPr>
      <w:r>
        <w:t xml:space="preserve">Conector PNCP cobrindo contratações, contratos, atas e amparo legal, com coleta incremental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Conector SICONFI cobrindo RREO, RGF e DCA, com captura da lista de entes ausentes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Conector Portal da Transparência da CGU, incluindo CEIS, CNEP e CEPIM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Ingestão da base pública de CNPJ da Receita Federal com quadro societário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Cadastro de entes a partir da base do IBGE, com população e classificação de porte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Normalização para o esquema canônico com regras de qualidade e quarentena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Cálculo inicial dos grupos de pares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operacional com saúde das coletas e alarme de variação de volume</w:t>
      </w:r>
    </w:p>
    <w:p>
      <w:pPr>
        <w:spacing w:after="160"/>
      </w:pPr>
    </w:p>
    <w:p>
      <w:pPr>
        <w:pStyle w:val="Heading2"/>
        <w:keepNext/>
        <w:keepLines/>
        <w:spacing w:after="120" w:before="280"/>
      </w:pPr>
      <w:bookmarkStart w:name="_Toc9" w:id="9"/>
      <w:r>
        <w:t xml:space="preserve">Fase 2 — Motor de detecção</w:t>
      </w:r>
      <w:bookmarkEnd w:id="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Meses 5 a 7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Transformar a base normalizada em indícios revisáveis, com evidência completa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Amostra de 100 indícios por família revisada manualmente, com taxa de falso positivo dentro do limite do DOC-07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Taxa de falso positivo acima do aceitável; mitigado pelo modo silencioso, que impede publicação prematura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0" w:id="10"/>
      <w:r>
        <w:t xml:space="preserve">Entregáveis</w:t>
      </w:r>
      <w:bookmarkEnd w:id="10"/>
    </w:p>
    <w:p>
      <w:pPr>
        <w:pStyle w:val="ListParagraph"/>
        <w:numPr>
          <w:ilvl w:val="0"/>
          <w:numId w:val="2"/>
        </w:numPr>
        <w:spacing w:after="70"/>
      </w:pPr>
      <w:r>
        <w:t xml:space="preserve">Motor de regras com versionamento, parâmetros datados e registro de linhagem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Famílias B, E, I e J implementadas: fracionamento, anomalias processuais, conformidade e sanções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Famílias A e H implementadas após normalização de itens por catálogo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Famílias C, D, F e G implementadas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Cálculo de score composto e severidade conforme o DOC-07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Interface de revisão humana com fila priorizada e trilha de auditoria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Ambiente de calibração com simulação sobre janela histórica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Todas as regras em modo silencioso, acumulando dados para calibração</w:t>
      </w:r>
    </w:p>
    <w:p>
      <w:pPr>
        <w:spacing w:after="160"/>
      </w:pPr>
    </w:p>
    <w:p>
      <w:pPr>
        <w:pStyle w:val="Heading2"/>
        <w:keepNext/>
        <w:keepLines/>
        <w:spacing w:after="120" w:before="280"/>
      </w:pPr>
      <w:bookmarkStart w:name="_Toc11" w:id="11"/>
      <w:r>
        <w:t xml:space="preserve">Fase 3 — Camada estadual</w:t>
      </w:r>
      <w:bookmarkEnd w:id="11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Meses 8 e 9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 profundidade estadual e cobertura indireta de municípios via tribunais de contas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fonte por analista, sem escrita de código, validado em ao menos cinco fontes reais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Heterogeneidade maior que a prevista; mitigado por priorização pelo alcance e aceitação de cobertura parcial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2" w:id="12"/>
      <w:r>
        <w:t xml:space="preserve">Entregáveis</w:t>
      </w:r>
      <w:bookmarkEnd w:id="12"/>
    </w:p>
    <w:p>
      <w:pPr>
        <w:pStyle w:val="ListParagraph"/>
        <w:numPr>
          <w:ilvl w:val="0"/>
          <w:numId w:val="2"/>
        </w:numPr>
        <w:spacing w:after="70"/>
      </w:pPr>
      <w:r>
        <w:t xml:space="preserve">Motor de conectores declarativos concluído e documentado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Levantamento das fontes estaduais e dos tribunais de contas, ordenado por municípios cobertos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Conectores para os tribunais de contas com dados abertos consolidados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Conectores para os portais estaduais com dado estruturado disponível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Registro de não conformidade para os entes sem publicação localizável</w:t>
      </w:r>
    </w:p>
    <w:p>
      <w:pPr>
        <w:spacing w:after="160"/>
      </w:pPr>
    </w:p>
    <w:p>
      <w:pPr>
        <w:pStyle w:val="Heading2"/>
        <w:keepNext/>
        <w:keepLines/>
        <w:spacing w:after="120" w:before="280"/>
      </w:pPr>
      <w:bookmarkStart w:name="_Toc13" w:id="13"/>
      <w:r>
        <w:t xml:space="preserve">Fase 4 — Cauda longa municipal</w:t>
      </w:r>
      <w:bookmarkEnd w:id="1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Meses 9 a 11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Preencher lacunas municipais com conectores por família de plataforma e extração de documentos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cobertura municipal mostrando entes cobertos, parcialmente cobertos e sem publicação localizável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Concentração em famílias de plataforma menor que o esperado; mitigado pela medição prévia, que permite recalibrar antes de investir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4" w:id="14"/>
      <w:r>
        <w:t xml:space="preserve">Entregáveis</w:t>
      </w:r>
      <w:bookmarkEnd w:id="14"/>
    </w:p>
    <w:p>
      <w:pPr>
        <w:pStyle w:val="ListParagraph"/>
        <w:numPr>
          <w:ilvl w:val="0"/>
          <w:numId w:val="2"/>
        </w:numPr>
        <w:spacing w:after="70"/>
      </w:pPr>
      <w:r>
        <w:t xml:space="preserve">Levantamento das famílias de plataforma de portal municipal, com medição do alcance de cada uma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Conectores para as famílias de maior alcance, validados em amostra aleatória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Extrator de documentos com suporte a PDF, planilha e HTML, incluindo OCR com marcação de confiança reduzida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Fluxo de mapeamento assistido com validação humana obrigatória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Registro sistemático de entes sem publicação localizável, alimentando o índice de conformidade</w:t>
      </w:r>
    </w:p>
    <w:p>
      <w:pPr>
        <w:spacing w:after="160"/>
      </w:pPr>
    </w:p>
    <w:p>
      <w:pPr>
        <w:pStyle w:val="Heading2"/>
        <w:keepNext/>
        <w:keepLines/>
        <w:spacing w:after="120" w:before="280"/>
      </w:pPr>
      <w:bookmarkStart w:name="_Toc15" w:id="15"/>
      <w:r>
        <w:t xml:space="preserve">Fase 5 — Publicação</w:t>
      </w:r>
      <w:bookmarkEnd w:id="1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Meses 10 a 12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o sistema ao público com todas as salvaguardas editoriais operando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 de contestação testado ponta a ponta e parecer jurídico externo favorável à publicação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antes da calibração adequada; mitigado pelo critério de liberação por regra do DOC-07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6" w:id="16"/>
      <w:r>
        <w:t xml:space="preserve">Entregáveis</w:t>
      </w:r>
      <w:bookmarkEnd w:id="16"/>
    </w:p>
    <w:p>
      <w:pPr>
        <w:pStyle w:val="ListParagraph"/>
        <w:numPr>
          <w:ilvl w:val="0"/>
          <w:numId w:val="2"/>
        </w:numPr>
        <w:spacing w:after="70"/>
      </w:pPr>
      <w:r>
        <w:t xml:space="preserve">Índice de conformidade de transparência calculado e publicado por ente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Portal público com panorama por ente, busca avançada e página de indício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 pública documentada e versionada, com limite de taxa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Exportação em CSV e Parquet e geração de dossiê de evidências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Fluxo de direito de resposta completo, incluindo publicação de errata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Metodologia de todas as regras ativas publicada em linguagem acessível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Revisão da política jurídica e editorial por advogado externo</w:t>
      </w:r>
    </w:p>
    <w:p>
      <w:pPr>
        <w:spacing w:after="160"/>
      </w:pPr>
    </w:p>
    <w:p>
      <w:pPr>
        <w:pStyle w:val="Heading2"/>
        <w:keepNext/>
        <w:keepLines/>
        <w:spacing w:after="120" w:before="280"/>
      </w:pPr>
      <w:bookmarkStart w:name="_Toc17" w:id="17"/>
      <w:r>
        <w:t xml:space="preserve">Fase 6 — Consolidação</w:t>
      </w:r>
      <w:bookmarkEnd w:id="1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Mês 12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Tornar o sistema sustentável em operação por equipe reduzida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Operação por uma semana sem intervenção manual não planejada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Risco principal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Dívida técnica acumulada nas fases anteriores; mitigado por reserva explícita de capacidade nesta fase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8" w:id="18"/>
      <w:r>
        <w:t xml:space="preserve">Entregáveis</w:t>
      </w:r>
      <w:bookmarkEnd w:id="18"/>
    </w:p>
    <w:p>
      <w:pPr>
        <w:pStyle w:val="ListParagraph"/>
        <w:numPr>
          <w:ilvl w:val="0"/>
          <w:numId w:val="2"/>
        </w:numPr>
        <w:spacing w:after="70"/>
      </w:pPr>
      <w:r>
        <w:t xml:space="preserve">Observabilidade completa nos três níveis do DOC-04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Procedimentos operacionais documentados, incluindo restauração testada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Documentação técnica atualizada e consistente com o código entregue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Avaliação da abertura do código-fonte e da metodologia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Plano de sustentação: custos recorrentes, cadência de manutenção e critérios de expansão</w:t>
      </w:r>
    </w:p>
    <w:p>
      <w:pPr>
        <w:spacing w:after="16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9" w:id="19"/>
      <w:r>
        <w:t xml:space="preserve">4. Marcos</w:t>
      </w:r>
      <w:bookmarkEnd w:id="1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00"/>
        <w:gridCol w:w="1900"/>
        <w:gridCol w:w="64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do mês 1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Prova preservada: um artefato é coletado, armazenado com hash e recuperado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do mês 4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nacional: contratações e dados fiscais de alcance nacional na base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do mês 7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 validada: regras calibradas com taxa de falso positivo aceitável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do mês 9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Profundidade estadual: tribunais de contas integrados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do mês 11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municipal medida e documentada, com lacunas explicitadas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do mês 12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público em operação com direito de resposta funcionando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0" w:id="20"/>
      <w:r>
        <w:t xml:space="preserve">5. Esforço estimado</w:t>
      </w:r>
      <w:bookmarkEnd w:id="2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estimativa considera uma pessoa em dedicação parcial consistente, que é o cenário realista para o início. Está expressa em pessoa-mês para permitir recálculo caso a equipe cresça.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24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1,0 pessoa-mês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 fechado; não deve exceder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1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3,0 pessoa-mês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retorno por esforço de todo o projeto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3,5 pessoa-mês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Inclui o tempo de calibração, que não é comprimível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3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 pessoa-mês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 da qualidade das fontes estaduais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4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3,0 pessoa-mês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incerteza do plano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5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2,5 pessoa-mês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Inclui portal e API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6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1,0 pessoa-mês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 para dívida técnica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16,0 pessoa-mês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Compatível com doze meses considerando sobreposição entre fases</w:t>
            </w:r>
          </w:p>
        </w:tc>
      </w:tr>
    </w:tbl>
    <w:tbl>
      <w:tblPr>
        <w:tblW w:type="dxa" w:w="9600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DCE6F1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Sobre a sobreposição entre fases</w:t>
            </w:r>
          </w:p>
          <w:p>
            <w:pPr>
              <w:spacing w:after="70"/>
            </w:pPr>
            <w:r>
              <w:t xml:space="preserve">O cronograma mostra fases sobrepostas porque o tempo de calibração da fase 2 e o tempo de coleta histórica da fase 1 são majoritariamente de espera, não de trabalho ativo. Enquanto uma carga roda ou uma regra acumula dados em modo silencioso, o desenvolvimento avança na fase seguinte.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1" w:id="21"/>
      <w:r>
        <w:t xml:space="preserve">6. Custos recorrentes estimados</w:t>
      </w:r>
      <w:bookmarkEnd w:id="21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Valores de referência para dimensionamento, em ordem de grandeza. Devem ser revistos com números reais ao fim da fase 1, quando o volume efetivo de coleta será conhecido.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2200"/>
        <w:gridCol w:w="2200"/>
        <w:gridCol w:w="2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Regime pleno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Armazenamento de objetos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Cresce continuamente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bronze nunca é apagada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Armazenamento analítico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Moderado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Compressão colunar reduz muito o custo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domínio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 a moderado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pequeno comparado à camada analítica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Processamento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Moderado na carga histórica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 em regime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Sob demanda, liberado ao fim do ciclo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Índice de busca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aplicável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Moderado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mais caro em regime; entra na fase 5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e API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aplicável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Tráfego previsível e cacheável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Domínio e certificados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fixo pequeno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principal alavanca de custo é a política de ciclo de vida do armazenamento de objetos: artefatos antigos migram para classes de acesso menos frequente sem perda de disponibilidade para auditoria, o que mantém o custo da prova sob controle mesmo com crescimento permanente.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Na Fase 1, a ADR-026 leva esses itens a custo zero com planos gratuitos (seção 9.5). O primeiro gasto previsto é o domínio próprio; o seguinte, armazenamento de objetos além de 10 GB.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2" w:id="22"/>
      <w:r>
        <w:t xml:space="preserve">7. Decisões que precisam ser tomadas antes de começar</w:t>
      </w:r>
      <w:bookmarkEnd w:id="2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Quatro definições não são técnicas e não podem ser adiadas indefinidamente, porque condicionam escolhas das primeiras fases.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1700"/>
        <w:gridCol w:w="5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condiciona o desenvolvimento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definitivo do projeto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da fase 0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é nome de trabalho e precisa passar pela mesma verificação de disponibilidade de marca e domínio já feita para a marca da empresa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Natureza institucional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da fase 5</w:t>
            </w:r>
          </w:p>
        </w:tc>
        <w:tc>
          <w:tcPr>
            <w:tcW w:type="dxa" w:w="5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Projeto pessoal, produto da empresa ou iniciativa sem fins lucrativos; afeta percepção de imparcialidade e a estratégia de sustentação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Abertura do código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da fase 6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aberto reforça a credibilidade da metodologia e atrai colaboração, mas exige disciplina adicional de documentação e governança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Apoio jurídico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da fase 5</w:t>
            </w:r>
          </w:p>
        </w:tc>
        <w:tc>
          <w:tcPr>
            <w:tcW w:type="dxa" w:w="5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revisão da política editorial por advogado é critério de saída da fase 5 e precisa estar contratada com antecedência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3" w:id="23"/>
      <w:r>
        <w:t xml:space="preserve">8. Critérios de replanejamento</w:t>
      </w:r>
      <w:bookmarkEnd w:id="2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plano prevê explicitamente as condições em que deve ser revisto, para que o replanejamento seja decisão consciente e não deriva silenciosa.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a cobertura nacional ao fim da fase 1 ficar abaixo do esperado, a fase 3 é antecipada e a fase 4 é reduzida, porque a profundidade passa a valer mais que a extensão.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a taxa de falso positivo de uma família inteira ficar persistentemente acima do limite, essa família é adiada em vez de publicada com ressalvas.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a concentração em famílias de plataforma municipal for muito menor que a esperada, a fase 4 é reduzida ao mapeamento assistido e o foco migra para a qualidade do que já está coberto.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a operação da fase 1 consumir mais atenção manual que o previsto, a fase 6 é antecipada, porque um sistema instável não sustenta publicação pública.</w:t>
      </w: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erro mais provável neste plano</w:t>
            </w:r>
          </w:p>
          <w:p>
            <w:pPr>
              <w:spacing w:after="70"/>
            </w:pPr>
            <w:r>
              <w:t xml:space="preserve">A tentação recorrente será ampliar cobertura antes de consolidar qualidade: adicionar mais fontes é visivelmente produtivo, enquanto calibrar regra e reduzir falso positivo é trabalho invisível.</w:t>
            </w:r>
          </w:p>
          <w:p>
            <w:pPr>
              <w:spacing w:after="70"/>
            </w:pPr>
            <w:r>
              <w:t xml:space="preserve">Mas a credibilidade do projeto não decorre de quantos entes ele monitora, e sim de quantas vezes ele esteve certo quando sinalizou algo. Um sistema que cobre todo o Brasil e erra com frequência é pior que um que cobre metade e acerta — porque o primeiro perde a confiança que é seu único ativo.</w:t>
            </w:r>
          </w:p>
        </w:tc>
      </w:tr>
    </w:tbl>
    <w:p>
      <w:pPr>
        <w:pStyle w:val="Heading1"/>
        <w:keepNext/>
        <w:keepLines/>
        <w:pageBreakBefore/>
        <w:spacing w:after="160" w:before="380"/>
      </w:pPr>
      <w:bookmarkStart w:name="_Toc24" w:id="24"/>
      <w:r>
        <w:t xml:space="preserve">9. Situação em 19 de outubro de 2026</w:t>
      </w:r>
      <w:bookmarkEnd w:id="2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seções anteriores são o plano. Esta seção registra onde o projeto está, entregável por entregável, para que o replanejamento da seção 8 parta de fatos e não de impressão.</w:t>
      </w:r>
    </w:p>
    <w:p>
      <w:pPr>
        <w:pStyle w:val="Heading2"/>
        <w:keepNext/>
        <w:keepLines/>
        <w:spacing w:after="120" w:before="280"/>
      </w:pPr>
      <w:bookmarkStart w:name="_Toc25" w:id="25"/>
      <w:r>
        <w:t xml:space="preserve">9.1 Fase 0 — Fundação: concluída</w:t>
      </w:r>
      <w:bookmarkEnd w:id="2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200"/>
        <w:gridCol w:w="44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Monorepo e integração contínua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Concluído: vocabulário, testes em Python 3.11 a 3.13 com cobertura mínima de 80%, ruff, migração no PostgreSQL e portal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Esquema canônico e primeira migração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Concluído: entidades do DOC-05 (seção 8) e migração 0001 testada no PostgreSQL 16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Camada bronze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Concluído: disco local e armazenamento de objetos S3 com Object Lock (ADR-018)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Verificador de vocabulário no CI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Concluído; cobre também o código da aba Eleições e os textos do portal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ADR-001 a ADR-010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Concluído; ADR-011 a ADR-026 registradas durante a implementação, todas como propostas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Ambiente local por um comando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Concluído: make ambiente (PostgreSQL e MinIO)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Critério de saída (M1)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Cumprido e verificado por teste: artefato coletado, guardado com hash e recuperado pelo identificador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6" w:id="26"/>
      <w:r>
        <w:t xml:space="preserve">9.2 Fase 1 — Espinha dorsal nacional: núcleo pronto</w:t>
      </w:r>
      <w:bookmarkEnd w:id="2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200"/>
        <w:gridCol w:w="44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Conector PNCP (contratações, contratos, atas, amparo legal, incremental)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Concluído, com coleta por publicação e por atualização; itens e resultados com conector e normalizador prontos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Conector SICONFI com lista de entes ausentes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Entes e extrato de entregas concluídos, com a avaliação da LRF; RREO, RGF e DCA com conector pronto e normalização pendente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Portal da Transparência (CGU), com CEIS, CNEP e CEPIM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Cadastros de sanções concluídos: coleta diária pelos arquivos de dados abertos, sem chave, e normalização com CPF mascarado (ADR-030); demais conjuntos da CGU (despesas, convênios, emendas) pendentes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 pública de CNPJ da Receita Federal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de entes do IBGE com população e porte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Normalização com qualidade e quarentena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Concluída para PNCP, SICONFI e IBGE; silver idempotente, reconstruível do bronze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Grupos de pares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Cálculo inicial concluído (ADR-038): municípios por porte e região, com recuo para o porte no país abaixo de 15 entes; estados e DF num grupo; 33 grupos sobre o cadastro de outubro de 2026. Comparação publicada na conformidade de cada ente. A receita corrente líquida entra com a normalização do RREO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Painel operacional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dos portais de transparência (ADR-028)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 pelo PNTP (ADR-032): 11.697 entidades com endereço do portal e nível de transparência; leitura dos portais pendente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Regra J-01: contratação de sancionado (antecipada da Fase 2)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 modo silencioso (ADR-031), a cada carga do painel; calibração e revisão pendentes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Parâmetros legais verificados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 além do previsto: limites de dispensa de 2021 a 2026, fator do § 2º e acréscimos do art. 125, conferidos no Planalto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Itens e resultados do PNCP no pipeline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Concluído: coleta sob demanda dos processos da silver por objeto (lumen coletar pncp_itens)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Regra A-05: preço comparado com o mercado de fora do governo (antecipada da Fase 2)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 modo silencioso (ADR-027): combustível contra a série da ANP; informática contra o varejo pela API oficial, a validar; limiares não calibrados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Critério de saída (três exercícios e relatório de cobertura)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iniciado. A hospedagem está decidida (ADR-026); faltam o projeto no Supabase e levar a coleta de contratações para a nuvem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Antes da Fase 2</w:t>
            </w:r>
          </w:p>
          <w:p>
            <w:pPr>
              <w:spacing w:after="70"/>
            </w:pPr>
            <w:r>
              <w:t xml:space="preserve">Revisar as ADRs 011 a 026. Resolver a divergência da regra B-01 com o art. 75, § 1º, da Lei 14.133 (ADR-022): nenhuma regra da família B deve ser implementada antes dessa revisão metodológica e jurídica.</w:t>
            </w:r>
          </w:p>
          <w:p>
            <w:pPr>
              <w:spacing w:after="70"/>
            </w:pPr>
            <w:r>
              <w:t xml:space="preserve">Definir a fonte de "quem autorizou o ato": a API do PNCP não publica o agente (ADR-017), e o DOC-08 exige essa informação para publicar indício.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7" w:id="27"/>
      <w:r>
        <w:t xml:space="preserve">9.3 Trilha paralela: aba Eleições</w:t>
      </w:r>
      <w:bookmarkEnd w:id="27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aba Eleições não estava no plano original. Entrou como trilha paralela porque não disputa o caminho crítico: usa só a camada bronze, a identificação da coleta e o cadastro de entes, e não depende do motor de detecção (ADR-024). O detalhamento está no DOC-12.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200"/>
        <w:gridCol w:w="44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ao vivo do sistema de resultados do TSE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Concluída e ensaiada em apuração simulada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passadas pelos dados abertos (1994 a 2024, por município)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Processamento concluído e testado nos três layouts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de 1933 a 1990 (só por UF, como o TSE publica)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Concluído: os 19 anos lidos e verificados com os dados reais completos (ADR-025)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completa num comando (lumen eleicoes preparar; preparar.cmd no Windows)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Concluído; retomável. A carga numa máquina leva horas na primeira vez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Carga, publicação e portal na nuvem, sem custo (ADR-026)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 produção desde 14/10/2026: feeds no Supabase Storage, carga diária e retomável no GitHub Actions, portal na Vercel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Portal estático: mapa interativo, candidatos, panorama, evolução, busca, modo TV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Concluído; mapa e cadastro de municípios vêm com o Lumen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Domínio próprio para o portal e os feeds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Pendente: depende do nome definitivo (seção 7)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Ensaio em infraestrutura real antes do 2º turno de 2026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Feito com o 1º turno (16 e 17/10/2026), que achou a parada sem a marca de finalizada do TSE, já corrigida. O 2º turno está agendado no eleicoes-ao-vivo (adendo do ADR-026)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Contexto eleitoral nas telas de contratação (família K)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Fase 2 em diante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8" w:id="28"/>
      <w:r>
        <w:t xml:space="preserve">9.4 Efeito no cronograma</w:t>
      </w:r>
      <w:bookmarkEnd w:id="28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Os entregáveis pendentes da Fase 1 (CGU, Receita, grupos de pares e painel) são os de menor risco técnico: fontes com documentação estável ou arquivos completos. O risco de prazo estava no critério de saída, que exige infraestrutura para a carga histórica. A ADR-026 resolve a hospedagem sem custo; o que resta é trabalho técnico (levar a coleta de contratações para o GitHub Actions, como a das eleições) e criar as contas. A decisão não técnica que sobra é o domínio, que depende do nome definitivo (seção 7).</w:t>
      </w:r>
    </w:p>
    <w:p>
      <w:pPr>
        <w:pStyle w:val="Heading2"/>
        <w:keepNext/>
        <w:keepLines/>
        <w:spacing w:after="120" w:before="280"/>
      </w:pPr>
      <w:bookmarkStart w:name="_Toc29" w:id="29"/>
      <w:r>
        <w:t xml:space="preserve">9.5 Hospedagem sem custo (ADR-026)</w:t>
      </w:r>
      <w:bookmarkEnd w:id="2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Nenhum banco gratuito comporta o Lumen inteiro: só as eleições por município passam de 500 MB em linhas de banco, e a base de CNPJ da Receita tem dezenas de GB. Por isso cada tipo de dado vai para o serviço gratuito que lhe serve. Limites verificados em 7 de outubro de 2026.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3200"/>
        <w:gridCol w:w="2400"/>
        <w:gridCol w:w="2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guarda ou executa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Limite gratuito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Sinal para a primeira despesa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Cloudflare R2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Feeds das eleições (bucket público), estado das cargas (privado); depois, Parquet das contratações e a prova com trava de bucket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 GB-mês, 1 milhão de escritas e 10 milhões de leituras por mês; saída grátis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Passar de 10 GB: US$ 0,015 por GB-mês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Cloudflare Pages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Portal estático (os feeds ficam no R2)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Até 20.000 arquivos por site e 25 MiB por arquivo</w:t>
            </w:r>
          </w:p>
        </w:tc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Domínio próprio (registro pago à parte)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Cargas agendadas e retomáveis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2.000 minutos por mês em repositório privado; 6 horas por execução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Cargas diárias longas de várias fontes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Supabase Free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Núcleo transacional: entes, fontes, indícios, evidências, revisão e contestação (migração 0001)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500 MB de banco; pausa após 1 semana sem uso</w:t>
            </w:r>
          </w:p>
        </w:tc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Passar de 500 MB: plano Pro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projeto do Supabase fica numa organização própria do Lumen, nunca na de uma empresa que o mantenedor atende. Os dados volumosos e só de leitura ficam em Parquet no R2, consultados com DuckDB; entra no banco o que uma revisão de indício precisa consultar com transação.</w:t>
      </w:r>
    </w:p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DOC-10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41d6f0a51e12bb529c5b3afda80ad85ba2045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DOC-10 - Roadmap</dc:title>
  <dc:creator>Projeto Lumen</dc:creator>
  <dc:description>Fases, marcos, esforço, custos e critérios de replanejamento</dc:description>
  <cp:lastModifiedBy>Un-named</cp:lastModifiedBy>
  <cp:revision>1</cp:revision>
  <dcterms:created xsi:type="dcterms:W3CDTF">2026-10-19T14:52:00.421Z</dcterms:created>
  <dcterms:modified xsi:type="dcterms:W3CDTF">2026-10-19T14:52:00.462Z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