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da versão 1.0 com as revisões pendentes da Fase 1 e a regra A-05 (ADR-027)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Filosofia do motor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Revisões pendentes registradas durante a Fase 1</w:t>
            </w:r>
          </w:p>
          <w:p>
            <w:pPr>
              <w:spacing w:after="70"/>
            </w:pPr>
            <w:r>
              <w:t xml:space="preserve">B-01: o critério legal de aferição do limite de dispensa (Lei 14.133/2021, art. 75, § 1º) é o exercício financeiro, a unidade gestora e o ramo de atividade, e não a janela de 180 dias por fornecedor desta versão. A proposta de separar a regra em B-01a (aderente ao texto legal) e B-01b (padrão estatístico complementar) aguarda revisão metodológica e jurídica (ADR-022). Nenhuma regra da família B é implementada antes dela.</w:t>
            </w:r>
          </w:p>
          <w:p>
            <w:pPr>
              <w:spacing w:after="70"/>
            </w:pPr>
            <w:r>
              <w:t xml:space="preserve">Quem autorizou o ato: a API do PNCP não publica o agente (ADR-017). Regra cuja explicação pública dependa dessa informação só pode publicar com fonte complementar (diário oficial ou portal do ente).</w:t>
            </w:r>
          </w:p>
          <w:p>
            <w:pPr>
              <w:spacing w:after="70"/>
            </w:pPr>
            <w:r>
              <w:t xml:space="preserve">Família K: dados eleitorais entram só como contexto factual (ADR-024). A K-01 depende da prestação de contas de campanha do TSE, fonte ainda não integrada.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after="120" w:before="280"/>
      </w:pPr>
      <w:r>
        <w:t xml:space="preserve">1.1 Anatomia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Ordem de execução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Família A — Anomalia de preço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keepNext/>
        <w:keepLines/>
        <w:spacing w:after="100" w:before="220"/>
      </w:pPr>
      <w:r>
        <w:t xml:space="preserve">A-01 — Preço unitário distante da mediana do item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A-02 — Preço acima de tabela referencial oficial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A-03 — Divergência entre ata de registro de preços e contratação efetiva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A-04 — Mesmo fornecedor, mesmo item, preços muito distintos entre 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A-05 — Preço acima da referência de mercado de fora do governo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unitário pago está muito acima do que o mercado cobrava, no mesmo lugar e na mesma época, por um produto inequivocamente igual?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o preço unitário homologado e a mediana de uma referência que não nasce de compra pública: o preço de revenda da ANP no município (ou, sem amostra, na UF) até 7 dias da data do resultado, para combustíveis e para o gás de cozinha no botijão de 13 kg; ofertas novas do varejo online, obtidas pela API oficial da loja, cujo título contém todos os atributos da especificação, para informática padronizada. O item só entra se a descrição e a unidade o identificam sem ambiguidade (ADR-027).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1,20 × a mediana em combustível, 1,25 × no gás de cozinha e 1,50 × no varejo; mínimo de 5 revendas no município, 10 na UF e 8 ofertas. Razão abaixo de 0,50 é "fora de escala" (preço simbólico, orçamento sigiloso gravado como zero ou erro de unidade) e sai da distribuição; a partir de 3,00 o item recebe a marca para conferir unidade. Valores iniciais, não calibrados; a regra roda em modo silencioso, e o relatório traz a distribuição da razão por categoria, tipo de preço e escopo, com a fração acima de cada limiar candidato, para a calibração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e resultados do PNCP; série histórica e planilhas semanais de preços da ANP; ofertas do varejo guardadas no bronze com data e hora do acesso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definir na calibração; enquanto silenciosa, não gera indício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no local de uso (diesel no canteiro, combustível no tanque da frota, botijão na unidade); cartão de abastecimento e prazo de pagamento; município pequeno comparado com a mediana da UF; especificação superior à do anúncio; garantia, assistência técnica ou instalação embutidas no preço; variação brusca de preço entre a proposta e o resultado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uma régua de fora do governo</w:t>
            </w:r>
          </w:p>
          <w:p>
            <w:pPr>
              <w:spacing w:after="70"/>
            </w:pPr>
            <w:r>
              <w:t xml:space="preserve">A-01 a A-04 comparam o preço com o que o próprio poder público pagou ou tabelou. Quando quase todos pagam caro pelo mesmo item, a mediana entre órgãos sobe junto e nada destoa. A-05 traz a régua do mercado, que a Lei 14.133 também aceita como parâmetro de pesquisa de preços (art. 23, § 1º, III e V). Começa pelo combustível, cuja referência é oficial, histórica e sem ambiguidade de produto.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Família B — Fracionamento e padrões de valor pequeno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keepNext/>
        <w:keepLines/>
        <w:spacing w:after="100" w:before="220"/>
      </w:pPr>
      <w:r>
        <w:t xml:space="preserve">B-01 — Fracionamento por agregação de objeto e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B-01 em revisão (ADR-022)</w:t>
            </w:r>
          </w:p>
          <w:p>
            <w:pPr>
              <w:spacing w:after="70"/>
            </w:pPr>
            <w:r>
              <w:t xml:space="preserve">A janela móvel de 180 dias por fornecedor não é o critério do art. 75, § 1º, que soma o despendido no exercício financeiro pela unidade gestora com objetos do mesmo ramo de atividade, e o § 2º dobra os limites para consórcios públicos e agências executivas. Esta definição fica suspensa até a revisão.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00" w:before="220"/>
      </w:pPr>
      <w:r>
        <w:t xml:space="preserve">B-02 — Concentração de valores imediatamente abaixo do limite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B-03 — Sequência recorrente de dispensas com o mesmo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B-04 — Múltiplas contratações do mesmo objeto na mesma data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Família C — Concentração de fornecedores</w:t>
      </w:r>
    </w:p>
    <w:p>
      <w:pPr>
        <w:pStyle w:val="Heading3"/>
        <w:keepNext/>
        <w:keepLines/>
        <w:spacing w:after="100" w:before="220"/>
      </w:pPr>
      <w:r>
        <w:t xml:space="preserve">C-01 — Concentração de mercado elevada por categoria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C-02 — Fornecedor dominante no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C-03 — Dependência do fornecedor em relação ao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5. Família D — Perfil societário do 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keepNext/>
        <w:keepLines/>
        <w:spacing w:after="100" w:before="220"/>
      </w:pPr>
      <w:r>
        <w:t xml:space="preserve">D-01 — Fornecedor constituído pouco antes da contratação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D-02 — Capital social desproporcional ao valor contratado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D-03 — Atividade econômica incompatível com o objeto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D-04 — Sócios em comum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D-05 — Endereço coincidente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Família E — Anomalias processuais</w:t>
      </w:r>
    </w:p>
    <w:p>
      <w:pPr>
        <w:pStyle w:val="Heading3"/>
        <w:keepNext/>
        <w:keepLines/>
        <w:spacing w:after="100" w:before="220"/>
      </w:pPr>
      <w:r>
        <w:t xml:space="preserve">E-01 — Uso de contratação direta acima do padrão do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E-02 — Aditivos acima do limite legal de acréscimo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E-03 — Prazo entre publicação e abertura inferior ao mínimo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E-04 — Participante único recorrente em processos competitivos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7. Família F — Análise forense de dígitos</w:t>
      </w:r>
    </w:p>
    <w:p>
      <w:pPr>
        <w:pStyle w:val="Heading3"/>
        <w:keepNext/>
        <w:keepLines/>
        <w:spacing w:after="100" w:before="220"/>
      </w:pPr>
      <w:r>
        <w:t xml:space="preserve">F-01 — Desvio da distribuição esperada do primeiro dígito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Família G — Padrões temporais</w:t>
      </w:r>
    </w:p>
    <w:p>
      <w:pPr>
        <w:pStyle w:val="Heading3"/>
        <w:keepNext/>
        <w:keepLines/>
        <w:spacing w:after="100" w:before="220"/>
      </w:pPr>
      <w:r>
        <w:t xml:space="preserve">G-01 — Concentração atípica de empenhos no encerramento do exercício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G-02 — Inversão na cadeia da despesa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9. Família H — Comparação com o grupo de pares</w:t>
      </w:r>
    </w:p>
    <w:p>
      <w:pPr>
        <w:pStyle w:val="Heading3"/>
        <w:keepNext/>
        <w:keepLines/>
        <w:spacing w:after="100" w:before="220"/>
      </w:pPr>
      <w:r>
        <w:t xml:space="preserve">H-01 — Gasto per capita atípico por função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H-02 — Variação abrupta na série histórica do próprio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10. Família I — Conformidade de transparência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keepNext/>
        <w:keepLines/>
        <w:spacing w:after="100" w:before="220"/>
      </w:pPr>
      <w:r>
        <w:t xml:space="preserve">I-01 — Ausência de envio obrigatório a sistema federal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I-02 — Desatualização da publicação obrigatória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I-03 — Publicação em formato não legível por máquina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Família J — Sanções vigentes</w:t>
      </w:r>
    </w:p>
    <w:p>
      <w:pPr>
        <w:pStyle w:val="Heading3"/>
        <w:keepNext/>
        <w:keepLines/>
        <w:spacing w:after="100" w:before="220"/>
      </w:pPr>
      <w:r>
        <w:t xml:space="preserve">J-01 — Contratação de fornecedor com sanção vigente na data do ato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 e CEPIM com datas de vigência; contratos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12. Família K — Contexto factual, sem publicação autônoma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13. Score composto e severidade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p>
      <w:pPr>
        <w:pStyle w:val="Heading1"/>
        <w:keepNext/>
        <w:keepLines/>
        <w:spacing w:after="160" w:before="380"/>
      </w:pPr>
      <w:r>
        <w:t xml:space="preserve">14. Calibração e controle de qualidade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2026-10-13T10:31:57.764Z</dcterms:created>
  <dcterms:modified xsi:type="dcterms:W3CDTF">2026-10-13T10:31:57.766Z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