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2.6</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21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3.1 Levantamento dos tribunais de contas (21/10/2026, ADR-050)</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4. Camada 3 — Municípios</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4.1 Abordagem por família de plataforma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4.2 Cauda longa</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4.3 Especificação declarativa de fonte</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5. Política de coleta responsável</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6. Matriz de cobertura esperada por fase</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7. Situação da integração (outubro de 2026)</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8. Registro de fontes</w:t>
            </w:r>
            <w:r>
              <w:tab/>
            </w:r>
            <w:r>
              <w:fldChar w:fldCharType="begin" w:dirty="true"/>
              <w:instrText xml:space="preserve">PAGEREF _Toc24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/dca, Anexo I-E: despesa por função de cada ano, de 2014 em diante (2013 vem vazio); até 2016 o total se chama "Despesas (Exceto Intraorçamentárias)", com parênteses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Lida sob demanda no portal, pelo endereço /api/siconfi/dca, que a Vercel repassa (a API não aceita pedido de outro site): governos municipais (ADR-040)</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da União (id_ente=1), Anexo 1: receita realizada (coluna "Até o Bimestre (c)") de 2015 em diante; o nome das contas muda, o código não; o bloco das intraorçamentárias tem códigos próprios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As partes da receita corrente somam o total (conferido em toda leitura); em bilhões de reais corrigidos pelo IPCA na Economia (ADR-033)</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RREO da União (id_ente=1), Anexo 2: despesa por função de 2015 em diante; funções e subfunções na mesma lista, sem marcação; a coluna da liquidada mudou de nome em 2016 e, depois, as funções se repetem num bloco das intraorçamentárias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As 28 funções da Portaria 42/1999 somam o total (conferido em toda leitura); em bilhões de reais corrigidos pelo IPCA na Economia (ADR-033)</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p>
      <w:pPr>
        <w:spacing w:after="120"/>
      </w:pPr>
      <w:r>
        <w:rPr>
          <w:b w:val="false"/>
          <w:bCs w:val="false"/>
          <w:i w:val="false"/>
          <w:iCs w:val="false"/>
        </w:rPr>
        <w:t xml:space="preserve">Desde 2026, a base fica num compartilhamento do Nextcloud da Receita, uma pasta por mês, lida pelo WebDAV público (37 arquivos e 7,8 GB compactados em outubro de 2026). O Lumen lê só os fornecedores dos contratos do painel, toda semana, sem o CPF dos sócios, o endereço, o telefone e o e-mail; a razão social do MEI traz o CPF do titular, mascarado na leitura (ADR-043).</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6579 (população estimada; n1 e n6) e tabela 4709 (Censo 2022)</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População do país na Economia e de cada município nos governos municipais (ADR-040), com as quebras de método de 2013 e 2024</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2"/>
        <w:keepNext/>
        <w:keepLines/>
        <w:spacing w:after="120" w:before="280"/>
      </w:pPr>
      <w:bookmarkStart w:name="_Toc16" w:id="16"/>
      <w:r>
        <w:t xml:space="preserve">3.1 Levantamento dos tribunais de contas (21/10/2026, ADR-050)</w:t>
      </w:r>
      <w:bookmarkEnd w:id="16"/>
    </w:p>
    <w:p>
      <w:pPr>
        <w:spacing w:after="120"/>
      </w:pPr>
      <w:r>
        <w:rPr>
          <w:b w:val="false"/>
          <w:bCs w:val="false"/>
          <w:i w:val="false"/>
          <w:iCs w:val="false"/>
        </w:rPr>
        <w:t xml:space="preserve">Os 32 tribunais que fiscalizam municípios foram levantados com as APIs e os downloads testados. A tabela completa está na wiki, página "Tribunais de contas". Em resumo: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4600"/>
        <w:gridCol w:w="2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Tribunais</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Municípios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Licitações ou contratos em lote, sem chave</w:t>
            </w:r>
          </w:p>
        </w:tc>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TCE-SP (desde 2018), TCE-RS (2016), TCE-PR (2013), TCE-PE (2011), TCE-CE (2003), TCE-RJ (2020), TCE-ES (2022)</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Perto de 2.080</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Lote aberto, incompleto ou com obstáculo</w:t>
            </w:r>
          </w:p>
        </w:tc>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TCE-PB (sem contratos), TCE-MA (SACOP por API interna), TCE-TO, TCE-AM (sem CNPJ), TCM-PA (só o mural)</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Perto de 790</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Atrás de captcha, token ou só em tela</w:t>
            </w:r>
          </w:p>
        </w:tc>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TCE-MG, TCM-BA, TCE-SC, TCM-GO, TCE-MT</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Perto de 1.850</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Nada aberto sobre os municípios</w:t>
            </w:r>
          </w:p>
        </w:tc>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Os demais; a API do TCE-RN estava fora do ar</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bl>
    <w:p>
      <w:pPr>
        <w:spacing w:after="120"/>
      </w:pPr>
      <w:r>
        <w:rPr>
          <w:b w:val="false"/>
          <w:bCs w:val="false"/>
          <w:i w:val="false"/>
          <w:iCs w:val="false"/>
        </w:rPr>
        <w:t xml:space="preserve">Ordem de integração: TCE-RS (em uso desde 21/10/2026: contratos de 2016 em diante, lidos por partes no servidor), TCE-SP, TCE-PR (em uso desde 21/10/2026: contratos de 2013 em diante, município a município), TCE-PE (em uso desde 21/10/2026: contratos de 2013 em diante, pela API) e TCE-CE, perto de 1.900 municípios. Para os cinco atrás de captcha ou token, pedido formal de acesso automatizado ou pela Lei de Acesso à Informação; o do TCE-MT antes de 2027, quando 2021 sai da janela de seis anos do Radar.</w:t>
      </w:r>
    </w:p>
    <w:p>
      <w:pPr>
        <w:pStyle w:val="Heading1"/>
        <w:keepNext/>
        <w:keepLines/>
        <w:spacing w:after="160" w:before="380"/>
      </w:pPr>
      <w:bookmarkStart w:name="_Toc17" w:id="17"/>
      <w:r>
        <w:t xml:space="preserve">4. Camada 3 — Municípios</w:t>
      </w:r>
      <w:bookmarkEnd w:id="17"/>
    </w:p>
    <w:p>
      <w:pPr>
        <w:pStyle w:val="Heading2"/>
        <w:keepNext/>
        <w:keepLines/>
        <w:spacing w:after="120" w:before="280"/>
      </w:pPr>
      <w:bookmarkStart w:name="_Toc18" w:id="18"/>
      <w:r>
        <w:t xml:space="preserve">4.1 Abordagem por família de plataforma</w:t>
      </w:r>
      <w:bookmarkEnd w:id="18"/>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9" w:id="19"/>
      <w:r>
        <w:t xml:space="preserve">4.2 Cauda longa</w:t>
      </w:r>
      <w:bookmarkEnd w:id="1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20" w:id="20"/>
      <w:r>
        <w:t xml:space="preserve">4.3 Especificação declarativa de fonte</w:t>
      </w:r>
      <w:bookmarkEnd w:id="20"/>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1" w:id="21"/>
      <w:r>
        <w:t xml:space="preserve">5. Política de coleta responsável</w:t>
      </w:r>
      <w:bookmarkEnd w:id="21"/>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2" w:id="22"/>
      <w:r>
        <w:t xml:space="preserve">6. Matriz de cobertura esperada por fase</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3" w:id="23"/>
      <w:r>
        <w:t xml:space="preserve">7. Situação da integração (outubro de 2026)</w:t>
      </w:r>
      <w:bookmarkEnd w:id="2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(Anexo 03 do RREO) despesa por função de todos os entes (Anexo I-E da DCA, ADR-041) e despesa com pessoal do Executivo (Anexo 1 do RGF, ADR-042), coletadas todo dia, só as que faltam;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CEPIM, emendas parlamentares e convênios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ADR-044 e ADR-045); transferências e despesas pendentes, pelo mesmo caminho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Em uso para os fornecedores dos contratos (ADR-043)</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pelo WebDAV do compartilhamento; semanal;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4" w:id="24"/>
      <w:r>
        <w:t xml:space="preserve">8. Registro de fontes</w:t>
      </w:r>
      <w:bookmarkEnd w:id="24"/>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2026-10-21T15:04:50.930Z</dcterms:created>
  <dcterms:modified xsi:type="dcterms:W3CDTF">2026-10-21T15:04:50.939Z</dcterms:modified>
</cp:coreProperties>
</file>

<file path=docProps/custom.xml><?xml version="1.0" encoding="utf-8"?>
<Properties xmlns="http://schemas.openxmlformats.org/officeDocument/2006/custom-properties" xmlns:vt="http://schemas.openxmlformats.org/officeDocument/2006/docPropsVTypes"/>
</file>