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Fase 3 — Camada estadual: iniciada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Trilha paralela: aba Eleições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Efeito no cronograma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9.6 Hospedagem sem custo (ADR-026)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21/10/2026: o nome fica Lumen (ADR-043). O domínio próprio continua pendente, como decisão de custo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RCL, a despesa por função e a despesa com pessoal de todos os entes coletadas para os grupos de pares (ADR-038, ADR-041 e ADR-042)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emendas parlamentares e convênios pelos arquivos de dados abertos, sem chave (ADR-044 e ADR-045); transferências e despesas pendentes, pelo mesmo caminho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para os fornecedores dos contratos (ADR-043): cadastro, Simples e quadro societário, semanal, no fornecedor de Contratações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 e a cobertura por ente e UF (ADR-048);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Publicada como aviso no portal desde 21/10/2026 (ADR-047), a cada carga do painel, com ressalva e contestação; calibração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andamento. O relatório de cobertura por ente e UF está publicado na "Situação das coletas" (ADR-048), e a carga das contratações e da conformidade desde 2021 está em curso no GitHub Actions (ADR-046)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Fase 3 — Camada estadual: iniciada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Levantamento das fontes estaduais e dos tribunais de contas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para os 32 tribunais que fiscalizam municípios (ADR-050): sete com licitações ou contratos em lote, sem chave; cinco atrás de captcha ou token, com pedido formal a fazer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Conectores dos tribunais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TCE-RS (contratos de 2016 em diante), TCE-PR e TCE-PE (de 2013 em diante) em uso, no mandato aberto de Governos municipais e na página da empresa. Na fila: TCE-SP e TCE-CE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Motor de conectores declarativos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Trilha paralela: aba Eleições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o nome está decidido (Lumen, ADR-043); falta registrar o domínio, que tem custo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9" w:id="29"/>
      <w:r>
        <w:t xml:space="preserve">9.5 Efeito no cronograma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domínio: o nome ficou Lumen (ADR-043), e falta registrá-lo.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9.6 Hospedagem sem custo (ADR-026)</w:t>
      </w:r>
      <w:bookmarkEnd w:id="3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2026-10-21T15:04:51.557Z</dcterms:created>
  <dcterms:modified xsi:type="dcterms:W3CDTF">2026-10-21T15:04:51.558Z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