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FEASIBILITY STUDY</w:t>
      </w:r>
    </w:p>
    <w:p/>
    <w:p/>
    <w:p>
      <w:pPr>
        <w:jc w:val="center"/>
      </w:pPr>
      <w:r>
        <w:rPr>
          <w:rFonts w:ascii="Calibri" w:hAnsi="Calibri"/>
          <w:b/>
          <w:sz w:val="32"/>
        </w:rPr>
        <w:t>Draftly: A Lawyer-in-the-Loop Legal Workflow Platform for Sri Lankan Legal Practice</w:t>
      </w:r>
    </w:p>
    <w:p/>
    <w:p/>
    <w:p/>
    <w:p/>
    <w:p/>
    <w:p/>
    <w:p>
      <w:pPr>
        <w:jc w:val="center"/>
      </w:pPr>
      <w:r>
        <w:rPr>
          <w:rFonts w:ascii="Calibri" w:hAnsi="Calibri"/>
          <w:b/>
          <w:sz w:val="24"/>
        </w:rPr>
        <w:t xml:space="preserve">Date: </w:t>
      </w:r>
      <w:r>
        <w:rPr>
          <w:rFonts w:ascii="Calibri" w:hAnsi="Calibri"/>
          <w:sz w:val="24"/>
        </w:rPr>
        <w:t>23 July 2026</w:t>
      </w:r>
    </w:p>
    <w:p/>
    <w:p/>
    <w:p>
      <w:pPr>
        <w:jc w:val="center"/>
      </w:pPr>
      <w:r>
        <w:rPr>
          <w:rFonts w:ascii="Calibri" w:hAnsi="Calibri"/>
          <w:b/>
          <w:sz w:val="24"/>
        </w:rPr>
        <w:t xml:space="preserve">Team Members: </w:t>
      </w:r>
      <w:r>
        <w:rPr>
          <w:rFonts w:ascii="Calibri" w:hAnsi="Calibri"/>
          <w:sz w:val="24"/>
        </w:rPr>
        <w:t>Dhanapala D.H.N., Dilshan A.D.L., De Silva B.K.P.</w:t>
      </w:r>
    </w:p>
    <w:p/>
    <w:p>
      <w:pPr>
        <w:jc w:val="center"/>
      </w:pPr>
      <w:r>
        <w:rPr>
          <w:rFonts w:ascii="Calibri" w:hAnsi="Calibri"/>
          <w:b/>
          <w:sz w:val="24"/>
        </w:rPr>
        <w:t xml:space="preserve">Index Numbers: </w:t>
      </w:r>
      <w:r>
        <w:rPr>
          <w:rFonts w:ascii="Calibri" w:hAnsi="Calibri"/>
          <w:sz w:val="24"/>
        </w:rPr>
        <w:t>&lt;Index No 1&gt;, &lt;Index No 2&gt;, &lt;Index No 3&gt;</w:t>
      </w:r>
    </w:p>
    <w:p/>
    <w:p>
      <w:pPr>
        <w:jc w:val="center"/>
      </w:pPr>
      <w:r>
        <w:rPr>
          <w:rFonts w:ascii="Calibri" w:hAnsi="Calibri"/>
          <w:b/>
          <w:sz w:val="24"/>
        </w:rPr>
        <w:t xml:space="preserve">Mentor: </w:t>
      </w:r>
      <w:r>
        <w:rPr>
          <w:rFonts w:ascii="Calibri" w:hAnsi="Calibri"/>
          <w:sz w:val="24"/>
        </w:rPr>
        <w:t>Dr. Nisansa de Silva</w:t>
      </w:r>
    </w:p>
    <w:p>
      <w:r>
        <w:br w:type="page"/>
      </w:r>
    </w:p>
    <w:p>
      <w:pPr>
        <w:pStyle w:val="Heading1"/>
      </w:pPr>
      <w:r>
        <w:t>Table of Contents</w:t>
      </w:r>
    </w:p>
    <w:p>
      <w:r>
        <w:fldChar w:fldCharType="begin"/>
        <w:instrText xml:space="preserve">TOC \o "1-4" \h \z \u</w:instrText>
        <w:fldChar w:fldCharType="separate"/>
        <w:t>Right-click and choose 'Update Field' to generate the table of contents.</w:t>
        <w:fldChar w:fldCharType="end"/>
      </w:r>
    </w:p>
    <w:p>
      <w:r>
        <w:br w:type="page"/>
      </w:r>
    </w:p>
    <w:p>
      <w:pPr>
        <w:pStyle w:val="ListNumber"/>
      </w:pPr>
      <w:r>
        <w:rPr>
          <w:rFonts w:ascii="Calibri" w:hAnsi="Calibri"/>
          <w:b w:val="0"/>
          <w:sz w:val="22"/>
        </w:rPr>
        <w:t>[Introduction](#1-introduction)</w:t>
      </w:r>
    </w:p>
    <w:p>
      <w:pPr>
        <w:pStyle w:val="ListBullet"/>
      </w:pPr>
      <w:r>
        <w:rPr>
          <w:rFonts w:ascii="Calibri" w:hAnsi="Calibri"/>
          <w:b w:val="0"/>
          <w:sz w:val="22"/>
        </w:rPr>
        <w:t>[1.1 Overview of the Project](#11-overview-of-the-project)</w:t>
      </w:r>
    </w:p>
    <w:p>
      <w:pPr>
        <w:pStyle w:val="ListBullet"/>
      </w:pPr>
      <w:r>
        <w:rPr>
          <w:rFonts w:ascii="Calibri" w:hAnsi="Calibri"/>
          <w:b w:val="0"/>
          <w:sz w:val="22"/>
        </w:rPr>
        <w:t>[1.2 Objectives of the Project](#12-objectives-of-the-project)</w:t>
      </w:r>
    </w:p>
    <w:p>
      <w:pPr>
        <w:pStyle w:val="ListBullet"/>
      </w:pPr>
      <w:r>
        <w:rPr>
          <w:rFonts w:ascii="Calibri" w:hAnsi="Calibri"/>
          <w:b w:val="0"/>
          <w:sz w:val="22"/>
        </w:rPr>
        <w:t>[1.3 The Need for the Project](#13-the-need-for-the-project)</w:t>
      </w:r>
    </w:p>
    <w:p>
      <w:pPr>
        <w:pStyle w:val="ListBullet"/>
      </w:pPr>
      <w:r>
        <w:rPr>
          <w:rFonts w:ascii="Calibri" w:hAnsi="Calibri"/>
          <w:b w:val="0"/>
          <w:sz w:val="22"/>
        </w:rPr>
        <w:t>[1.4 Overview of Existing Systems and Technologies](#14-overview-of-existing-systems-and-technologies)</w:t>
      </w:r>
    </w:p>
    <w:p>
      <w:pPr>
        <w:pStyle w:val="ListBullet"/>
      </w:pPr>
      <w:r>
        <w:rPr>
          <w:rFonts w:ascii="Calibri" w:hAnsi="Calibri"/>
          <w:b w:val="0"/>
          <w:sz w:val="22"/>
        </w:rPr>
        <w:t>[1.5 Scope of the Project](#15-scope-of-the-project)</w:t>
      </w:r>
    </w:p>
    <w:p>
      <w:pPr>
        <w:pStyle w:val="ListBullet"/>
      </w:pPr>
      <w:r>
        <w:rPr>
          <w:rFonts w:ascii="Calibri" w:hAnsi="Calibri"/>
          <w:b w:val="0"/>
          <w:sz w:val="22"/>
        </w:rPr>
        <w:t>[1.6 Deliverables](#16-deliverables) 2. [Feasibility Study](#2-feasibility-study)</w:t>
      </w:r>
    </w:p>
    <w:p>
      <w:pPr>
        <w:pStyle w:val="ListBullet"/>
      </w:pPr>
      <w:r>
        <w:rPr>
          <w:rFonts w:ascii="Calibri" w:hAnsi="Calibri"/>
          <w:b w:val="0"/>
          <w:sz w:val="22"/>
        </w:rPr>
        <w:t>[2.1 Financial Feasibility](#21-financial-feasibility)</w:t>
      </w:r>
    </w:p>
    <w:p>
      <w:pPr>
        <w:pStyle w:val="ListBullet"/>
      </w:pPr>
      <w:r>
        <w:rPr>
          <w:rFonts w:ascii="Calibri" w:hAnsi="Calibri"/>
          <w:b w:val="0"/>
          <w:sz w:val="22"/>
        </w:rPr>
        <w:t>[2.2 Technical Feasibility](#22-technical-feasibility)</w:t>
      </w:r>
    </w:p>
    <w:p>
      <w:pPr>
        <w:pStyle w:val="ListBullet"/>
      </w:pPr>
      <w:r>
        <w:rPr>
          <w:rFonts w:ascii="Calibri" w:hAnsi="Calibri"/>
          <w:b w:val="0"/>
          <w:sz w:val="22"/>
        </w:rPr>
        <w:t>[2.3 Resource and Time Feasibility](#23-resource-and-time-feasibility)</w:t>
      </w:r>
    </w:p>
    <w:p>
      <w:pPr>
        <w:pStyle w:val="ListBullet"/>
      </w:pPr>
      <w:r>
        <w:rPr>
          <w:rFonts w:ascii="Calibri" w:hAnsi="Calibri"/>
          <w:b w:val="0"/>
          <w:sz w:val="22"/>
        </w:rPr>
        <w:t>[2.4 Risk Feasibility](#24-risk-feasibility)</w:t>
      </w:r>
    </w:p>
    <w:p>
      <w:pPr>
        <w:pStyle w:val="ListBullet"/>
      </w:pPr>
      <w:r>
        <w:rPr>
          <w:rFonts w:ascii="Calibri" w:hAnsi="Calibri"/>
          <w:b w:val="0"/>
          <w:sz w:val="22"/>
        </w:rPr>
        <w:t>[2.5 Social and Legal Feasibility](#25-social-and-legal-feasibility) 3. [Considerations](#3-considerations) 4. [References](#4-references)</w:t>
      </w:r>
    </w:p>
    <w:p>
      <w:pPr>
        <w:pStyle w:val="Heading1"/>
      </w:pPr>
      <w:r>
        <w:rPr>
          <w:rFonts w:ascii="Calibri" w:hAnsi="Calibri"/>
          <w:b w:val="0"/>
          <w:sz w:val="22"/>
        </w:rPr>
        <w:t>1. Introduction</w:t>
      </w:r>
    </w:p>
    <w:p>
      <w:pPr>
        <w:pStyle w:val="Heading2"/>
      </w:pPr>
      <w:r>
        <w:rPr>
          <w:rFonts w:ascii="Calibri" w:hAnsi="Calibri"/>
          <w:b w:val="0"/>
          <w:sz w:val="22"/>
        </w:rPr>
        <w:t>1.1 Overview of the Project</w:t>
      </w:r>
    </w:p>
    <w:p>
      <w:pPr>
        <w:spacing w:after="160"/>
      </w:pPr>
      <w:r>
        <w:rPr>
          <w:rFonts w:ascii="Calibri" w:hAnsi="Calibri"/>
          <w:b w:val="0"/>
          <w:sz w:val="22"/>
        </w:rPr>
        <w:t>Draftly is a lawyer-in-the-loop legal workflow platform for Sri Lankan legal practice. The platform supports two workflow tracks: conveyancing, which is the first prototype workflow, and litigation, which is a later extension of the same matter-and-workflow foundation. The initial product is a notarial workbench for matters under the Registration of Title Act, No. 21 of 1998 (the "Bim Saviya" title-registration programme) [1], covering four notarial functions: examination of title, drafting, execution, and attestation.</w:t>
      </w:r>
    </w:p>
    <w:p>
      <w:pPr>
        <w:spacing w:after="160"/>
      </w:pPr>
      <w:r>
        <w:rPr>
          <w:rFonts w:ascii="Calibri" w:hAnsi="Calibri"/>
          <w:b w:val="0"/>
          <w:sz w:val="22"/>
        </w:rPr>
        <w:t>The system accepts an unstructured bundle of property and identity documents relating to a conveyancing matter — deeds, the current title certificate, cadastral and survey material, local-authority records, and party identity documents — and converts it into a verified, structured matter record. Optical character recognition and field extraction produce candidate facts with source locations; a qualified lawyer then verifies or corrects every extracted fact before it is relied upon. Deterministic consistency checks compare the verified facts across documents, surface missing documents and red flags, and guided workflow steps connect each stage of the notarial process to the governing statutory provisions. Finally, the platform generates lawyer-reviewable draft instruments from prescribed forms, populated only with verified facts, and maintains a complete version history and audit trail through to approval and export.</w:t>
      </w:r>
    </w:p>
    <w:p>
      <w:pPr>
        <w:spacing w:after="160"/>
      </w:pPr>
      <w:r>
        <w:rPr>
          <w:rFonts w:ascii="Calibri" w:hAnsi="Calibri"/>
          <w:b w:val="0"/>
          <w:sz w:val="22"/>
        </w:rPr>
        <w:t>The intended users are practising lawyers and notaries who handle land and title work, together with their supporting staff. The value to a practice is faster and more reliable title examination, fewer transcription and consistency errors, grounded answers to legal questions with pinpoint citations to statutes and authorities, and a defensible record of who verified and approved each fact and document. The distinguishing principle of the platform is that it is neither a form-filling PDF generator nor a legal search engine: the prescribed form is only the final output layer, and every generated draft is traceable to a verified record and to the evidence behind it.</w:t>
      </w:r>
    </w:p>
    <w:p>
      <w:pPr>
        <w:pStyle w:val="Heading2"/>
      </w:pPr>
      <w:r>
        <w:rPr>
          <w:rFonts w:ascii="Calibri" w:hAnsi="Calibri"/>
          <w:b w:val="0"/>
          <w:sz w:val="22"/>
        </w:rPr>
        <w:t>1.2 Objectives of the Project</w:t>
      </w:r>
    </w:p>
    <w:p>
      <w:pPr>
        <w:spacing w:after="160"/>
      </w:pPr>
      <w:r>
        <w:rPr>
          <w:rFonts w:ascii="Calibri" w:hAnsi="Calibri"/>
          <w:b w:val="0"/>
          <w:sz w:val="22"/>
        </w:rPr>
        <w:t>The objectives of the project are to:</w:t>
      </w:r>
    </w:p>
    <w:p>
      <w:pPr>
        <w:pStyle w:val="ListBullet"/>
      </w:pPr>
      <w:r>
        <w:rPr>
          <w:rFonts w:ascii="Calibri" w:hAnsi="Calibri"/>
          <w:b w:val="0"/>
          <w:sz w:val="22"/>
        </w:rPr>
        <w:t>Design and implement a web-based legal workflow platform in which a matter progresses from document intake to an approved, exportable draft under continuous lawyer supervision.</w:t>
      </w:r>
    </w:p>
    <w:p>
      <w:pPr>
        <w:pStyle w:val="ListBullet"/>
      </w:pPr>
      <w:r>
        <w:rPr>
          <w:rFonts w:ascii="Calibri" w:hAnsi="Calibri"/>
          <w:b w:val="0"/>
          <w:sz w:val="22"/>
        </w:rPr>
        <w:t>Automate the extraction of structured particulars from Sinhala and English conveyancing documents using optical character recognition, document classification, and layout-aware field extraction, with every extracted value carrying its source location.</w:t>
      </w:r>
    </w:p>
    <w:p>
      <w:pPr>
        <w:pStyle w:val="ListBullet"/>
      </w:pPr>
      <w:r>
        <w:rPr>
          <w:rFonts w:ascii="Calibri" w:hAnsi="Calibri"/>
          <w:b w:val="0"/>
          <w:sz w:val="22"/>
        </w:rPr>
        <w:t>Provide a verification workspace in which extracted facts are reviewed beside their source evidence and moved through explicit verification states before use.</w:t>
      </w:r>
    </w:p>
    <w:p>
      <w:pPr>
        <w:pStyle w:val="ListBullet"/>
      </w:pPr>
      <w:r>
        <w:rPr>
          <w:rFonts w:ascii="Calibri" w:hAnsi="Calibri"/>
          <w:b w:val="0"/>
          <w:sz w:val="22"/>
        </w:rPr>
        <w:t>Implement deterministic consistency checks over the verified matter record, including the cross-matching of the deed schedule, survey plan, and municipal assessment records, producing missing-document checklists and red flags.</w:t>
      </w:r>
    </w:p>
    <w:p>
      <w:pPr>
        <w:pStyle w:val="ListBullet"/>
      </w:pPr>
      <w:r>
        <w:rPr>
          <w:rFonts w:ascii="Calibri" w:hAnsi="Calibri"/>
          <w:b w:val="0"/>
          <w:sz w:val="22"/>
        </w:rPr>
        <w:t>Provide grounded legal question answering over a curated corpus of Sri Lankan statutes, gazettes, and case law, in which every claim carries a citation and the system abstains explicitly when authority is insufficient.</w:t>
      </w:r>
    </w:p>
    <w:p>
      <w:pPr>
        <w:pStyle w:val="ListBullet"/>
      </w:pPr>
      <w:r>
        <w:rPr>
          <w:rFonts w:ascii="Calibri" w:hAnsi="Calibri"/>
          <w:b w:val="0"/>
          <w:sz w:val="22"/>
        </w:rPr>
        <w:t>Generate draft instruments from prescribed statutory forms, beginning with the Form 8 transfer under the title-registration regime, populated exclusively from verified facts.</w:t>
      </w:r>
    </w:p>
    <w:p>
      <w:pPr>
        <w:pStyle w:val="ListBullet"/>
      </w:pPr>
      <w:r>
        <w:rPr>
          <w:rFonts w:ascii="Calibri" w:hAnsi="Calibri"/>
          <w:b w:val="0"/>
          <w:sz w:val="22"/>
        </w:rPr>
        <w:t>Maintain versioned drafts, approval gates, document export to standard office formats, and a complete audit trail of all actions.</w:t>
      </w:r>
    </w:p>
    <w:p>
      <w:pPr>
        <w:pStyle w:val="ListBullet"/>
      </w:pPr>
      <w:r>
        <w:rPr>
          <w:rFonts w:ascii="Calibri" w:hAnsi="Calibri"/>
          <w:b w:val="0"/>
          <w:sz w:val="22"/>
        </w:rPr>
        <w:t>Provide the interface in both English and Sinhala on the demonstrated workflow path.</w:t>
      </w:r>
    </w:p>
    <w:p>
      <w:pPr>
        <w:pStyle w:val="ListBullet"/>
      </w:pPr>
      <w:r>
        <w:rPr>
          <w:rFonts w:ascii="Calibri" w:hAnsi="Calibri"/>
          <w:b w:val="0"/>
          <w:sz w:val="22"/>
        </w:rPr>
        <w:t>Evaluate extraction, checking, retrieval, and drafting quality against a lawyer-verified evaluation set before any capability is presented as reliable.</w:t>
      </w:r>
    </w:p>
    <w:p>
      <w:pPr>
        <w:pStyle w:val="Heading2"/>
      </w:pPr>
      <w:r>
        <w:rPr>
          <w:rFonts w:ascii="Calibri" w:hAnsi="Calibri"/>
          <w:b w:val="0"/>
          <w:sz w:val="22"/>
        </w:rPr>
        <w:t>1.3 The Need for the Project</w:t>
      </w:r>
    </w:p>
    <w:p>
      <w:pPr>
        <w:spacing w:after="160"/>
      </w:pPr>
      <w:r>
        <w:rPr>
          <w:rFonts w:ascii="Calibri" w:hAnsi="Calibri"/>
          <w:b w:val="0"/>
          <w:sz w:val="22"/>
        </w:rPr>
        <w:t>Conveyancing practice in Sri Lanka is document-heavy, rule-driven, and almost entirely manual. A single transfer matter requires the practitioner to assemble and reconcile deeds, title certificates, survey plans, street-line and assessment records, and identity documents, often spanning several decades and four coexisting registration regimes. The examination of title requires that the particulars in these documents tally exactly; a mismatch in a lot number, extent, boundary, or party name that escapes notice can invalidate an instrument or expose the practitioner to liability.</w:t>
      </w:r>
    </w:p>
    <w:p>
      <w:pPr>
        <w:spacing w:after="160"/>
      </w:pPr>
      <w:r>
        <w:rPr>
          <w:rFonts w:ascii="Calibri" w:hAnsi="Calibri"/>
          <w:b w:val="0"/>
          <w:sz w:val="22"/>
        </w:rPr>
        <w:t>The existing process presents several difficulties that the proposed system addresses:</w:t>
      </w:r>
    </w:p>
    <w:p>
      <w:pPr>
        <w:pStyle w:val="ListBullet"/>
      </w:pPr>
      <w:r>
        <w:rPr>
          <w:rFonts w:ascii="Calibri" w:hAnsi="Calibri"/>
          <w:b/>
          <w:sz w:val="22"/>
        </w:rPr>
        <w:t>Manual reconciliation.</w:t>
      </w:r>
      <w:r>
        <w:rPr>
          <w:rFonts w:ascii="Calibri" w:hAnsi="Calibri"/>
          <w:b w:val="0"/>
          <w:sz w:val="22"/>
        </w:rPr>
        <w:t xml:space="preserve"> Cross-checking particulars across a document bundle is performed by eye. It is slow, repetitive, and error-prone, and the burden falls heavily on junior practitioners.</w:t>
      </w:r>
    </w:p>
    <w:p>
      <w:pPr>
        <w:pStyle w:val="ListBullet"/>
      </w:pPr>
      <w:r>
        <w:rPr>
          <w:rFonts w:ascii="Calibri" w:hAnsi="Calibri"/>
          <w:b/>
          <w:sz w:val="22"/>
        </w:rPr>
        <w:t>Fragmented sources of law.</w:t>
      </w:r>
      <w:r>
        <w:rPr>
          <w:rFonts w:ascii="Calibri" w:hAnsi="Calibri"/>
          <w:b w:val="0"/>
          <w:sz w:val="22"/>
        </w:rPr>
        <w:t xml:space="preserve"> The governing rules are spread across statutes, amendments, gazettes and prescribed forms, and a large body of case law. Locating the provision or authority relevant to a specific step of a specific matter is time-consuming, and existing local tools support general research rather than step-aware guidance.</w:t>
      </w:r>
    </w:p>
    <w:p>
      <w:pPr>
        <w:pStyle w:val="ListBullet"/>
      </w:pPr>
      <w:r>
        <w:rPr>
          <w:rFonts w:ascii="Calibri" w:hAnsi="Calibri"/>
          <w:b/>
          <w:sz w:val="22"/>
        </w:rPr>
        <w:t>Transcription risk in drafting.</w:t>
      </w:r>
      <w:r>
        <w:rPr>
          <w:rFonts w:ascii="Calibri" w:hAnsi="Calibri"/>
          <w:b w:val="0"/>
          <w:sz w:val="22"/>
        </w:rPr>
        <w:t xml:space="preserve"> Particulars are re-typed from source documents into instruments. Every re-typing is an opportunity for error, and prescribed statutory wording must be reproduced exactly.</w:t>
      </w:r>
    </w:p>
    <w:p>
      <w:pPr>
        <w:pStyle w:val="ListBullet"/>
      </w:pPr>
      <w:r>
        <w:rPr>
          <w:rFonts w:ascii="Calibri" w:hAnsi="Calibri"/>
          <w:b/>
          <w:sz w:val="22"/>
        </w:rPr>
        <w:t>No systematic record of verification.</w:t>
      </w:r>
      <w:r>
        <w:rPr>
          <w:rFonts w:ascii="Calibri" w:hAnsi="Calibri"/>
          <w:b w:val="0"/>
          <w:sz w:val="22"/>
        </w:rPr>
        <w:t xml:space="preserve"> Current practice produces no structured record of which facts were checked, by whom, and against which evidence. This weakens both quality control within a practice and the defensibility of the work.</w:t>
      </w:r>
    </w:p>
    <w:p>
      <w:pPr>
        <w:pStyle w:val="ListBullet"/>
      </w:pPr>
      <w:r>
        <w:rPr>
          <w:rFonts w:ascii="Calibri" w:hAnsi="Calibri"/>
          <w:b/>
          <w:sz w:val="22"/>
        </w:rPr>
        <w:t>Unreliability of generic AI tools.</w:t>
      </w:r>
      <w:r>
        <w:rPr>
          <w:rFonts w:ascii="Calibri" w:hAnsi="Calibri"/>
          <w:b w:val="0"/>
          <w:sz w:val="22"/>
        </w:rPr>
        <w:t xml:space="preserve"> General-purpose language models produce fluent but unverifiable answers and fabricated citations. In legal work this failure mode is disqualifying. A system for this domain must ground every output in identifiable source documents and statutory authority, and must abstain when it cannot.</w:t>
      </w:r>
    </w:p>
    <w:p>
      <w:pPr>
        <w:spacing w:after="160"/>
      </w:pPr>
      <w:r>
        <w:rPr>
          <w:rFonts w:ascii="Calibri" w:hAnsi="Calibri"/>
          <w:b w:val="0"/>
          <w:sz w:val="22"/>
        </w:rPr>
        <w:t>The proposed system responds to these needs with a verified structured matter record, deterministic checks, grounded retrieval, and generation that is constrained to approved templates and verified facts — with a lawyer approving every consequential step.</w:t>
      </w:r>
    </w:p>
    <w:p>
      <w:pPr>
        <w:pStyle w:val="Heading2"/>
      </w:pPr>
      <w:r>
        <w:rPr>
          <w:rFonts w:ascii="Calibri" w:hAnsi="Calibri"/>
          <w:b w:val="0"/>
          <w:sz w:val="22"/>
        </w:rPr>
        <w:t>1.4 Overview of Existing Systems and Technologies</w:t>
      </w:r>
    </w:p>
    <w:p>
      <w:pPr>
        <w:pStyle w:val="Heading3"/>
      </w:pPr>
      <w:r>
        <w:rPr>
          <w:rFonts w:ascii="Calibri" w:hAnsi="Calibri"/>
          <w:b w:val="0"/>
          <w:sz w:val="22"/>
        </w:rPr>
        <w:t>Existing systems</w:t>
      </w:r>
    </w:p>
    <w:p>
      <w:pPr>
        <w:spacing w:after="160"/>
      </w:pPr>
      <w:r>
        <w:rPr>
          <w:rFonts w:ascii="Calibri" w:hAnsi="Calibri"/>
          <w:b/>
          <w:sz w:val="22"/>
        </w:rPr>
        <w:t>Sri Lankan legal research platforms.</w:t>
      </w:r>
      <w:r>
        <w:rPr>
          <w:rFonts w:ascii="Calibri" w:hAnsi="Calibri"/>
          <w:b w:val="0"/>
          <w:sz w:val="22"/>
        </w:rPr>
        <w:t xml:space="preserve"> LawLanka [2] and LawCeylon provide commercial access to Sri Lankan legislation and law reports; Paralegal.lk and AI PAZZ offer search-oriented assistance over local legal content. These systems serve legal *research*: retrieval of legislation and case law by query. They do not manage matters, extract or verify facts from client documents, check cross-document consistency, or generate instruments. The proposed system uses retrieval as one component inside a verified drafting workflow rather than as the product itself.</w:t>
      </w:r>
    </w:p>
    <w:p>
      <w:pPr>
        <w:spacing w:after="160"/>
      </w:pPr>
      <w:r>
        <w:rPr>
          <w:rFonts w:ascii="Calibri" w:hAnsi="Calibri"/>
          <w:b/>
          <w:sz w:val="22"/>
        </w:rPr>
        <w:t>International legal AI platforms.</w:t>
      </w:r>
      <w:r>
        <w:rPr>
          <w:rFonts w:ascii="Calibri" w:hAnsi="Calibri"/>
          <w:b w:val="0"/>
          <w:sz w:val="22"/>
        </w:rPr>
        <w:t xml:space="preserve"> Harvey [3] is a prominent international example of an AI-assisted legal workspace combining document analysis, drafting assistance, and workflow features for large law firms. Its design demonstrates the viability of the calm, matter-centred professional workspace pattern. However, it does not address Sri Lankan law, Sinhala- language documents, the local registration regimes, or the prescribed forms that govern local notarial practice, and its commercial positioning is directed at large international firms rather than local practitioners.</w:t>
      </w:r>
    </w:p>
    <w:p>
      <w:pPr>
        <w:spacing w:after="160"/>
      </w:pPr>
      <w:r>
        <w:rPr>
          <w:rFonts w:ascii="Calibri" w:hAnsi="Calibri"/>
          <w:b/>
          <w:sz w:val="22"/>
        </w:rPr>
        <w:t>General-purpose language models.</w:t>
      </w:r>
      <w:r>
        <w:rPr>
          <w:rFonts w:ascii="Calibri" w:hAnsi="Calibri"/>
          <w:b w:val="0"/>
          <w:sz w:val="22"/>
        </w:rPr>
        <w:t xml:space="preserve"> Consumer chatbots built on large language models can summarise and draft text, but they lack access to the governing local sources, provide no provenance, and hallucinate authority. They offer no matter record, no verification workflow, and no audit trail.</w:t>
      </w:r>
    </w:p>
    <w:p>
      <w:pPr>
        <w:spacing w:after="160"/>
      </w:pPr>
      <w:r>
        <w:rPr>
          <w:rFonts w:ascii="Calibri" w:hAnsi="Calibri"/>
          <w:b w:val="0"/>
          <w:sz w:val="22"/>
        </w:rPr>
        <w:t>No existing system combines, for the Sri Lankan context: bilingual document extraction with lawyer verification, deterministic title consistency checks, grounded question answering over local statutes and case law, and template-constrained generation of prescribed instruments. This combination is the gap the proposed system fills.</w:t>
      </w:r>
    </w:p>
    <w:p>
      <w:pPr>
        <w:pStyle w:val="Heading3"/>
      </w:pPr>
      <w:r>
        <w:rPr>
          <w:rFonts w:ascii="Calibri" w:hAnsi="Calibri"/>
          <w:b w:val="0"/>
          <w:sz w:val="22"/>
        </w:rPr>
        <w:t>Technologies considered</w:t>
      </w:r>
    </w:p>
    <w:p>
      <w:pPr>
        <w:spacing w:after="160"/>
      </w:pPr>
      <w:r>
        <w:rPr>
          <w:rFonts w:ascii="Calibri" w:hAnsi="Calibri"/>
          <w:b w:val="0"/>
          <w:sz w:val="22"/>
        </w:rPr>
        <w:t>The following technologies are currently selected. The selections may be adjusted during development where more suitable alternatives are identified; exact implementation details will be documented in the final report.</w:t>
      </w:r>
    </w:p>
    <w:p>
      <w:pPr>
        <w:pStyle w:val="ListBullet"/>
      </w:pPr>
      <w:r>
        <w:rPr>
          <w:rFonts w:ascii="Calibri" w:hAnsi="Calibri"/>
          <w:b/>
          <w:sz w:val="22"/>
        </w:rPr>
        <w:t>Frontend:</w:t>
      </w:r>
      <w:r>
        <w:rPr>
          <w:rFonts w:ascii="Calibri" w:hAnsi="Calibri"/>
          <w:b w:val="0"/>
          <w:sz w:val="22"/>
        </w:rPr>
        <w:t xml:space="preserve"> Next.js (React) with TypeScript [4], with Tailwind CSS and an accessible component library, and the Tiptap rich-text editor framework [5] for the draft editor. Tiptap provides schema-validated structured documents, which allows prescribed statutory wording to be locked while schedules and particulars remain editable, and allows facts to be embedded as typed nodes that refuse unverified content.</w:t>
      </w:r>
    </w:p>
    <w:p>
      <w:pPr>
        <w:pStyle w:val="ListBullet"/>
      </w:pPr>
      <w:r>
        <w:rPr>
          <w:rFonts w:ascii="Calibri" w:hAnsi="Calibri"/>
          <w:b/>
          <w:sz w:val="22"/>
        </w:rPr>
        <w:t>Backend:</w:t>
      </w:r>
      <w:r>
        <w:rPr>
          <w:rFonts w:ascii="Calibri" w:hAnsi="Calibri"/>
          <w:b w:val="0"/>
          <w:sz w:val="22"/>
        </w:rPr>
        <w:t xml:space="preserve"> FastAPI (Python) [6], exposing the document pipeline and the retrieval engine over typed HTTP interfaces. The data science components are implemented in Python, so a Python web framework allows the engine to be served directly.</w:t>
      </w:r>
    </w:p>
    <w:p>
      <w:pPr>
        <w:pStyle w:val="ListBullet"/>
      </w:pPr>
      <w:r>
        <w:rPr>
          <w:rFonts w:ascii="Calibri" w:hAnsi="Calibri"/>
          <w:b/>
          <w:sz w:val="22"/>
        </w:rPr>
        <w:t>Database:</w:t>
      </w:r>
      <w:r>
        <w:rPr>
          <w:rFonts w:ascii="Calibri" w:hAnsi="Calibri"/>
          <w:b w:val="0"/>
          <w:sz w:val="22"/>
        </w:rPr>
        <w:t xml:space="preserve"> PostgreSQL [7] for matters, facts, documents, versions, and audit records; SQLite full-text indexes are used inside the retrieval engine for the statutory corpus.</w:t>
      </w:r>
    </w:p>
    <w:p>
      <w:pPr>
        <w:pStyle w:val="ListBullet"/>
      </w:pPr>
      <w:r>
        <w:rPr>
          <w:rFonts w:ascii="Calibri" w:hAnsi="Calibri"/>
          <w:b/>
          <w:sz w:val="22"/>
        </w:rPr>
        <w:t>Document processing:</w:t>
      </w:r>
      <w:r>
        <w:rPr>
          <w:rFonts w:ascii="Calibri" w:hAnsi="Calibri"/>
          <w:b w:val="0"/>
          <w:sz w:val="22"/>
        </w:rPr>
        <w:t xml:space="preserve"> optical character recognition through a tiered strategy — local open-source engines for routine material and a cloud document-understanding service for difficult scans — with all extraction results subject to manual verification. Self-hosted open-source OCR is preferred for real client documents for privacy reasons.</w:t>
      </w:r>
    </w:p>
    <w:p>
      <w:pPr>
        <w:pStyle w:val="ListBullet"/>
      </w:pPr>
      <w:r>
        <w:rPr>
          <w:rFonts w:ascii="Calibri" w:hAnsi="Calibri"/>
          <w:b/>
          <w:sz w:val="22"/>
        </w:rPr>
        <w:t>Retrieval:</w:t>
      </w:r>
      <w:r>
        <w:rPr>
          <w:rFonts w:ascii="Calibri" w:hAnsi="Calibri"/>
          <w:b w:val="0"/>
          <w:sz w:val="22"/>
        </w:rPr>
        <w:t xml:space="preserve"> a deterministic, rule-based retrieval engine over a curated statutory and case-law corpus, using established lexical ranking (BM25) [8], a citation graph linking cases to statutory sections, and topic-partitioned indexes; bounded large-language-model passes are used only for constrained tasks with validated outputs, following retrieval-augmented generation principles [9] with claim-level citation checking and explicit abstention.</w:t>
      </w:r>
    </w:p>
    <w:p>
      <w:pPr>
        <w:pStyle w:val="ListBullet"/>
      </w:pPr>
      <w:r>
        <w:rPr>
          <w:rFonts w:ascii="Calibri" w:hAnsi="Calibri"/>
          <w:b/>
          <w:sz w:val="22"/>
        </w:rPr>
        <w:t>Supporting services and tooling:</w:t>
      </w:r>
      <w:r>
        <w:rPr>
          <w:rFonts w:ascii="Calibri" w:hAnsi="Calibri"/>
          <w:b w:val="0"/>
          <w:sz w:val="22"/>
        </w:rPr>
        <w:t xml:space="preserve"> Git and GitHub for version control and continuous integration; Vercel for frontend preview deployments; automated testing with Playwright and axe-core for interface and accessibility checks; Conventional Commits and code review for change control.</w:t>
      </w:r>
    </w:p>
    <w:p>
      <w:pPr>
        <w:spacing w:after="160"/>
      </w:pPr>
      <w:r>
        <w:rPr>
          <w:rFonts w:ascii="Calibri" w:hAnsi="Calibri"/>
          <w:b w:val="0"/>
          <w:sz w:val="22"/>
        </w:rPr>
        <w:t>These selections favour stable, widely documented, open-source technologies with active ecosystems, which satisfies the requirements of maintainability, security, and low operating cost identified later in this study.</w:t>
      </w:r>
    </w:p>
    <w:p>
      <w:pPr>
        <w:pStyle w:val="Heading2"/>
      </w:pPr>
      <w:r>
        <w:rPr>
          <w:rFonts w:ascii="Calibri" w:hAnsi="Calibri"/>
          <w:b w:val="0"/>
          <w:sz w:val="22"/>
        </w:rPr>
        <w:t>1.5 Scope of the Project</w:t>
      </w:r>
    </w:p>
    <w:p>
      <w:pPr>
        <w:spacing w:after="160"/>
      </w:pPr>
      <w:r>
        <w:rPr>
          <w:rFonts w:ascii="Calibri" w:hAnsi="Calibri"/>
          <w:b w:val="0"/>
          <w:sz w:val="22"/>
        </w:rPr>
        <w:t>The initial system is scoped to matters under the title-registration regime (Registration of Title Act, No. 21 of 1998), covering examination of title, drafting, execution, and attestation, with the Form 8 transfer as the first end-to-end instrument.</w:t>
      </w:r>
    </w:p>
    <w:p>
      <w:pPr>
        <w:pStyle w:val="Heading3"/>
      </w:pPr>
      <w:r>
        <w:rPr>
          <w:rFonts w:ascii="Calibri" w:hAnsi="Calibri"/>
          <w:b w:val="0"/>
          <w:sz w:val="22"/>
        </w:rPr>
        <w:t>User roles</w:t>
      </w:r>
    </w:p>
    <w:p>
      <w:pPr>
        <w:pStyle w:val="Heading4"/>
      </w:pPr>
      <w:r>
        <w:rPr>
          <w:rFonts w:ascii="Calibri" w:hAnsi="Calibri"/>
          <w:b w:val="0"/>
          <w:sz w:val="22"/>
        </w:rPr>
        <w:t>Lawyer / Notary</w:t>
      </w:r>
    </w:p>
    <w:p>
      <w:pPr>
        <w:spacing w:after="160"/>
      </w:pPr>
      <w:r>
        <w:rPr>
          <w:rFonts w:ascii="Calibri" w:hAnsi="Calibri"/>
          <w:b w:val="0"/>
          <w:sz w:val="22"/>
        </w:rPr>
        <w:t>The lawyer or notary is able to:</w:t>
      </w:r>
    </w:p>
    <w:p>
      <w:pPr>
        <w:pStyle w:val="ListBullet"/>
      </w:pPr>
      <w:r>
        <w:rPr>
          <w:rFonts w:ascii="Calibri" w:hAnsi="Calibri"/>
          <w:b w:val="0"/>
          <w:sz w:val="22"/>
        </w:rPr>
        <w:t>Create and manage matters under the supported registration regime.</w:t>
      </w:r>
    </w:p>
    <w:p>
      <w:pPr>
        <w:pStyle w:val="ListBullet"/>
      </w:pPr>
      <w:r>
        <w:rPr>
          <w:rFonts w:ascii="Calibri" w:hAnsi="Calibri"/>
          <w:b w:val="0"/>
          <w:sz w:val="22"/>
        </w:rPr>
        <w:t>Upload matter documents and monitor their processing states.</w:t>
      </w:r>
    </w:p>
    <w:p>
      <w:pPr>
        <w:pStyle w:val="ListBullet"/>
      </w:pPr>
      <w:r>
        <w:rPr>
          <w:rFonts w:ascii="Calibri" w:hAnsi="Calibri"/>
          <w:b w:val="0"/>
          <w:sz w:val="22"/>
        </w:rPr>
        <w:t>Review extracted facts beside their source evidence, and verify or correct each fact; conflicting or unreadable items are flagged for resolution.</w:t>
      </w:r>
    </w:p>
    <w:p>
      <w:pPr>
        <w:pStyle w:val="ListBullet"/>
      </w:pPr>
      <w:r>
        <w:rPr>
          <w:rFonts w:ascii="Calibri" w:hAnsi="Calibri"/>
          <w:b w:val="0"/>
          <w:sz w:val="22"/>
        </w:rPr>
        <w:t>Run and review deterministic consistency checks, missing-document checklists, and red flags, and record the resolution of findings.</w:t>
      </w:r>
    </w:p>
    <w:p>
      <w:pPr>
        <w:pStyle w:val="ListBullet"/>
      </w:pPr>
      <w:r>
        <w:rPr>
          <w:rFonts w:ascii="Calibri" w:hAnsi="Calibri"/>
          <w:b w:val="0"/>
          <w:sz w:val="22"/>
        </w:rPr>
        <w:t>Follow guided workflow steps with visible statutory grounding.</w:t>
      </w:r>
    </w:p>
    <w:p>
      <w:pPr>
        <w:pStyle w:val="ListBullet"/>
      </w:pPr>
      <w:r>
        <w:rPr>
          <w:rFonts w:ascii="Calibri" w:hAnsi="Calibri"/>
          <w:b w:val="0"/>
          <w:sz w:val="22"/>
        </w:rPr>
        <w:t>Ask matter-aware legal questions and inspect claim-level evidence, or receive an explicit insufficient-authority response.</w:t>
      </w:r>
    </w:p>
    <w:p>
      <w:pPr>
        <w:pStyle w:val="ListBullet"/>
      </w:pPr>
      <w:r>
        <w:rPr>
          <w:rFonts w:ascii="Calibri" w:hAnsi="Calibri"/>
          <w:b w:val="0"/>
          <w:sz w:val="22"/>
        </w:rPr>
        <w:t>Generate drafts from approved templates using verified facts only; edit, compare, and restore versions; approve drafts; and export approved drafts to standard office formats.</w:t>
      </w:r>
    </w:p>
    <w:p>
      <w:pPr>
        <w:pStyle w:val="ListBullet"/>
      </w:pPr>
      <w:r>
        <w:rPr>
          <w:rFonts w:ascii="Calibri" w:hAnsi="Calibri"/>
          <w:b w:val="0"/>
          <w:sz w:val="22"/>
        </w:rPr>
        <w:t>Inspect the full audit trail of the matter.</w:t>
      </w:r>
    </w:p>
    <w:p>
      <w:pPr>
        <w:pStyle w:val="Heading3"/>
      </w:pPr>
      <w:r>
        <w:rPr>
          <w:rFonts w:ascii="Calibri" w:hAnsi="Calibri"/>
          <w:b w:val="0"/>
          <w:sz w:val="22"/>
        </w:rPr>
        <w:t>Out of scope for the initial system</w:t>
      </w:r>
    </w:p>
    <w:p>
      <w:pPr>
        <w:pStyle w:val="ListBullet"/>
      </w:pPr>
      <w:r>
        <w:rPr>
          <w:rFonts w:ascii="Calibri" w:hAnsi="Calibri"/>
          <w:b w:val="0"/>
          <w:sz w:val="22"/>
        </w:rPr>
        <w:t>The registration function of notarial practice, historical title-chain reconstruction, and pedigree analysis.</w:t>
      </w:r>
    </w:p>
    <w:p>
      <w:pPr>
        <w:pStyle w:val="ListBullet"/>
      </w:pPr>
      <w:r>
        <w:rPr>
          <w:rFonts w:ascii="Calibri" w:hAnsi="Calibri"/>
          <w:b w:val="0"/>
          <w:sz w:val="22"/>
        </w:rPr>
        <w:t>Conveyancing regimes other than title registration (deed registration, condominium, and special-area regimes are visible in the interface but marked as not yet supported).</w:t>
      </w:r>
    </w:p>
    <w:p>
      <w:pPr>
        <w:pStyle w:val="ListBullet"/>
      </w:pPr>
      <w:r>
        <w:rPr>
          <w:rFonts w:ascii="Calibri" w:hAnsi="Calibri"/>
          <w:b w:val="0"/>
          <w:sz w:val="22"/>
        </w:rPr>
        <w:t>The litigation workflow track.</w:t>
      </w:r>
    </w:p>
    <w:p>
      <w:pPr>
        <w:pStyle w:val="ListBullet"/>
      </w:pPr>
      <w:r>
        <w:rPr>
          <w:rFonts w:ascii="Calibri" w:hAnsi="Calibri"/>
          <w:b w:val="0"/>
          <w:sz w:val="22"/>
        </w:rPr>
        <w:t>Extraction of forms and document classes explicitly excluded from the initial pipeline.</w:t>
      </w:r>
    </w:p>
    <w:p>
      <w:pPr>
        <w:spacing w:after="160"/>
      </w:pPr>
      <w:r>
        <w:rPr>
          <w:rFonts w:ascii="Calibri" w:hAnsi="Calibri"/>
          <w:b w:val="0"/>
          <w:sz w:val="22"/>
        </w:rPr>
        <w:t>These exclusions bound the initial build; the platform architecture treats them as future extensions of the same matter and workflow foundation.</w:t>
      </w:r>
    </w:p>
    <w:p>
      <w:pPr>
        <w:pStyle w:val="Heading2"/>
      </w:pPr>
      <w:r>
        <w:rPr>
          <w:rFonts w:ascii="Calibri" w:hAnsi="Calibri"/>
          <w:b w:val="0"/>
          <w:sz w:val="22"/>
        </w:rPr>
        <w:t>1.6 Deliverables</w:t>
      </w:r>
    </w:p>
    <w:p>
      <w:pPr>
        <w:spacing w:after="160"/>
      </w:pPr>
      <w:r>
        <w:rPr>
          <w:rFonts w:ascii="Calibri" w:hAnsi="Calibri"/>
          <w:b w:val="0"/>
          <w:sz w:val="22"/>
        </w:rPr>
        <w:t>The main deliverables of the project are:</w:t>
      </w:r>
    </w:p>
    <w:p>
      <w:pPr>
        <w:pStyle w:val="ListBullet"/>
      </w:pPr>
      <w:r>
        <w:rPr>
          <w:rFonts w:ascii="Calibri" w:hAnsi="Calibri"/>
          <w:b w:val="0"/>
          <w:sz w:val="22"/>
        </w:rPr>
        <w:t>A web-based legal workflow application providing matter management, document intake and processing, fact verification, consistency checks, guided workflow steps, grounded question answering, draft editing with version history, approval gates, and export.</w:t>
      </w:r>
    </w:p>
    <w:p>
      <w:pPr>
        <w:pStyle w:val="ListBullet"/>
      </w:pPr>
      <w:r>
        <w:rPr>
          <w:rFonts w:ascii="Calibri" w:hAnsi="Calibri"/>
          <w:b w:val="0"/>
          <w:sz w:val="22"/>
        </w:rPr>
        <w:t>A document-processing pipeline for Sinhala and English matter documents, producing structured candidate facts with source locations and confidence values.</w:t>
      </w:r>
    </w:p>
    <w:p>
      <w:pPr>
        <w:pStyle w:val="ListBullet"/>
      </w:pPr>
      <w:r>
        <w:rPr>
          <w:rFonts w:ascii="Calibri" w:hAnsi="Calibri"/>
          <w:b w:val="0"/>
          <w:sz w:val="22"/>
        </w:rPr>
        <w:t>A curated and normalised statutory and case-law corpus with a deterministic retrieval engine and citation graph serving grounded answers.</w:t>
      </w:r>
    </w:p>
    <w:p>
      <w:pPr>
        <w:pStyle w:val="ListBullet"/>
      </w:pPr>
      <w:r>
        <w:rPr>
          <w:rFonts w:ascii="Calibri" w:hAnsi="Calibri"/>
          <w:b w:val="0"/>
          <w:sz w:val="22"/>
        </w:rPr>
        <w:t>A draft-generation module encoding the Form 8 transfer as a fillable, schema-validated template with locked prescribed wording, together with document export to standard office formats.</w:t>
      </w:r>
    </w:p>
    <w:p>
      <w:pPr>
        <w:pStyle w:val="ListBullet"/>
      </w:pPr>
      <w:r>
        <w:rPr>
          <w:rFonts w:ascii="Calibri" w:hAnsi="Calibri"/>
          <w:b w:val="0"/>
          <w:sz w:val="22"/>
        </w:rPr>
        <w:t>A bilingual (English and Sinhala) user interface on the demonstrated workflow path.</w:t>
      </w:r>
    </w:p>
    <w:p>
      <w:pPr>
        <w:pStyle w:val="ListBullet"/>
      </w:pPr>
      <w:r>
        <w:rPr>
          <w:rFonts w:ascii="Calibri" w:hAnsi="Calibri"/>
          <w:b w:val="0"/>
          <w:sz w:val="22"/>
        </w:rPr>
        <w:t>A lawyer-verified evaluation set and evaluation reports covering extraction, checking, retrieval, and drafting quality.</w:t>
      </w:r>
    </w:p>
    <w:p>
      <w:pPr>
        <w:pStyle w:val="ListBullet"/>
      </w:pPr>
      <w:r>
        <w:rPr>
          <w:rFonts w:ascii="Calibri" w:hAnsi="Calibri"/>
          <w:b w:val="0"/>
          <w:sz w:val="22"/>
        </w:rPr>
        <w:t>Technical documentation, user documentation, testing reports, deployment instructions, and the full source code under version control.</w:t>
      </w:r>
    </w:p>
    <w:p>
      <w:r>
        <w:br w:type="page"/>
      </w:r>
    </w:p>
    <w:p>
      <w:pPr>
        <w:pStyle w:val="Heading1"/>
      </w:pPr>
      <w:r>
        <w:rPr>
          <w:rFonts w:ascii="Calibri" w:hAnsi="Calibri"/>
          <w:b w:val="0"/>
          <w:sz w:val="22"/>
        </w:rPr>
        <w:t>2. Feasibility Study</w:t>
      </w:r>
    </w:p>
    <w:p>
      <w:pPr>
        <w:pStyle w:val="Heading2"/>
      </w:pPr>
      <w:r>
        <w:rPr>
          <w:rFonts w:ascii="Calibri" w:hAnsi="Calibri"/>
          <w:b w:val="0"/>
          <w:sz w:val="22"/>
        </w:rPr>
        <w:t>2.1 Financial Feasibility</w:t>
      </w:r>
    </w:p>
    <w:p>
      <w:pPr>
        <w:spacing w:after="160"/>
      </w:pPr>
      <w:r>
        <w:rPr>
          <w:rFonts w:ascii="Calibri" w:hAnsi="Calibri"/>
          <w:b w:val="0"/>
          <w:sz w:val="22"/>
        </w:rPr>
        <w:t>The project is financially practical because its cost structure is dominated by free and open-source components, while its benefits address a genuinely costly manual process.</w:t>
      </w:r>
    </w:p>
    <w:p>
      <w:pPr>
        <w:pStyle w:val="Heading3"/>
      </w:pPr>
      <w:r>
        <w:rPr>
          <w:rFonts w:ascii="Calibri" w:hAnsi="Calibri"/>
          <w:b w:val="0"/>
          <w:sz w:val="22"/>
        </w:rPr>
        <w:t>Development costs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r>
            <w:r>
              <w:rPr>
                <w:rFonts w:ascii="Calibri" w:hAnsi="Calibri"/>
                <w:b/>
                <w:sz w:val="20"/>
              </w:rPr>
              <w:t>Item</w:t>
            </w:r>
          </w:p>
        </w:tc>
        <w:tc>
          <w:tcPr>
            <w:tcW w:type="dxa" w:w="2880"/>
          </w:tcPr>
          <w:p>
            <w:r>
              <w:rPr>
                <w:b/>
                <w:sz w:val="20"/>
              </w:rPr>
            </w:r>
            <w:r>
              <w:rPr>
                <w:rFonts w:ascii="Calibri" w:hAnsi="Calibri"/>
                <w:b/>
                <w:sz w:val="20"/>
              </w:rPr>
              <w:t>Basis</w:t>
            </w:r>
          </w:p>
        </w:tc>
        <w:tc>
          <w:tcPr>
            <w:tcW w:type="dxa" w:w="2880"/>
          </w:tcPr>
          <w:p>
            <w:r>
              <w:rPr>
                <w:b/>
                <w:sz w:val="20"/>
              </w:rPr>
            </w:r>
            <w:r>
              <w:rPr>
                <w:rFonts w:ascii="Calibri" w:hAnsi="Calibri"/>
                <w:b/>
                <w:sz w:val="20"/>
              </w:rPr>
              <w:t>Expected cost</w:t>
            </w:r>
          </w:p>
        </w:tc>
      </w:tr>
      <w:tr>
        <w:tc>
          <w:tcPr>
            <w:tcW w:type="dxa" w:w="2880"/>
          </w:tcPr>
          <w:p>
            <w:r>
              <w:rPr>
                <w:sz w:val="20"/>
              </w:rPr>
            </w:r>
            <w:r>
              <w:rPr>
                <w:rFonts w:ascii="Calibri" w:hAnsi="Calibri"/>
                <w:b w:val="0"/>
                <w:sz w:val="20"/>
              </w:rPr>
              <w:t>Development hardware</w:t>
            </w:r>
          </w:p>
        </w:tc>
        <w:tc>
          <w:tcPr>
            <w:tcW w:type="dxa" w:w="2880"/>
          </w:tcPr>
          <w:p>
            <w:r>
              <w:rPr>
                <w:sz w:val="20"/>
              </w:rPr>
            </w:r>
            <w:r>
              <w:rPr>
                <w:rFonts w:ascii="Calibri" w:hAnsi="Calibri"/>
                <w:b w:val="0"/>
                <w:sz w:val="20"/>
              </w:rPr>
              <w:t>Existing personal computers are sufficient; no GPU is required because heavy model inference is consumed as external services and the retrieval engine is deterministic</w:t>
            </w:r>
          </w:p>
        </w:tc>
        <w:tc>
          <w:tcPr>
            <w:tcW w:type="dxa" w:w="2880"/>
          </w:tcPr>
          <w:p>
            <w:r>
              <w:rPr>
                <w:sz w:val="20"/>
              </w:rPr>
            </w:r>
            <w:r>
              <w:rPr>
                <w:rFonts w:ascii="Calibri" w:hAnsi="Calibri"/>
                <w:b w:val="0"/>
                <w:sz w:val="20"/>
              </w:rPr>
              <w:t>None additional</w:t>
            </w:r>
          </w:p>
        </w:tc>
      </w:tr>
      <w:tr>
        <w:tc>
          <w:tcPr>
            <w:tcW w:type="dxa" w:w="2880"/>
          </w:tcPr>
          <w:p>
            <w:r>
              <w:rPr>
                <w:sz w:val="20"/>
              </w:rPr>
            </w:r>
            <w:r>
              <w:rPr>
                <w:rFonts w:ascii="Calibri" w:hAnsi="Calibri"/>
                <w:b w:val="0"/>
                <w:sz w:val="20"/>
              </w:rPr>
              <w:t>Software and frameworks</w:t>
            </w:r>
          </w:p>
        </w:tc>
        <w:tc>
          <w:tcPr>
            <w:tcW w:type="dxa" w:w="2880"/>
          </w:tcPr>
          <w:p>
            <w:r>
              <w:rPr>
                <w:sz w:val="20"/>
              </w:rPr>
            </w:r>
            <w:r>
              <w:rPr>
                <w:rFonts w:ascii="Calibri" w:hAnsi="Calibri"/>
                <w:b w:val="0"/>
                <w:sz w:val="20"/>
              </w:rPr>
              <w:t>Next.js, FastAPI, PostgreSQL, Tiptap (core), Playwright, and the supporting toolchain are open source</w:t>
            </w:r>
          </w:p>
        </w:tc>
        <w:tc>
          <w:tcPr>
            <w:tcW w:type="dxa" w:w="2880"/>
          </w:tcPr>
          <w:p>
            <w:r>
              <w:rPr>
                <w:sz w:val="20"/>
              </w:rPr>
            </w:r>
            <w:r>
              <w:rPr>
                <w:rFonts w:ascii="Calibri" w:hAnsi="Calibri"/>
                <w:b w:val="0"/>
                <w:sz w:val="20"/>
              </w:rPr>
              <w:t>None</w:t>
            </w:r>
          </w:p>
        </w:tc>
      </w:tr>
      <w:tr>
        <w:tc>
          <w:tcPr>
            <w:tcW w:type="dxa" w:w="2880"/>
          </w:tcPr>
          <w:p>
            <w:r>
              <w:rPr>
                <w:sz w:val="20"/>
              </w:rPr>
            </w:r>
            <w:r>
              <w:rPr>
                <w:rFonts w:ascii="Calibri" w:hAnsi="Calibri"/>
                <w:b w:val="0"/>
                <w:sz w:val="20"/>
              </w:rPr>
              <w:t>Cloud document-understanding OCR</w:t>
            </w:r>
          </w:p>
        </w:tc>
        <w:tc>
          <w:tcPr>
            <w:tcW w:type="dxa" w:w="2880"/>
          </w:tcPr>
          <w:p>
            <w:r>
              <w:rPr>
                <w:sz w:val="20"/>
              </w:rPr>
            </w:r>
            <w:r>
              <w:rPr>
                <w:rFonts w:ascii="Calibri" w:hAnsi="Calibri"/>
                <w:b w:val="0"/>
                <w:sz w:val="20"/>
              </w:rPr>
              <w:t>Free-tier / trial allocation with a capped page budget; local open-source OCR is the default route</w:t>
            </w:r>
          </w:p>
        </w:tc>
        <w:tc>
          <w:tcPr>
            <w:tcW w:type="dxa" w:w="2880"/>
          </w:tcPr>
          <w:p>
            <w:r>
              <w:rPr>
                <w:sz w:val="20"/>
              </w:rPr>
            </w:r>
            <w:r>
              <w:rPr>
                <w:rFonts w:ascii="Calibri" w:hAnsi="Calibri"/>
                <w:b w:val="0"/>
                <w:sz w:val="20"/>
              </w:rPr>
              <w:t>None within the capped budget</w:t>
            </w:r>
          </w:p>
        </w:tc>
      </w:tr>
      <w:tr>
        <w:tc>
          <w:tcPr>
            <w:tcW w:type="dxa" w:w="2880"/>
          </w:tcPr>
          <w:p>
            <w:r>
              <w:rPr>
                <w:sz w:val="20"/>
              </w:rPr>
            </w:r>
            <w:r>
              <w:rPr>
                <w:rFonts w:ascii="Calibri" w:hAnsi="Calibri"/>
                <w:b w:val="0"/>
                <w:sz w:val="20"/>
              </w:rPr>
              <w:t>Language-model usage</w:t>
            </w:r>
          </w:p>
        </w:tc>
        <w:tc>
          <w:tcPr>
            <w:tcW w:type="dxa" w:w="2880"/>
          </w:tcPr>
          <w:p>
            <w:r>
              <w:rPr>
                <w:sz w:val="20"/>
              </w:rPr>
            </w:r>
            <w:r>
              <w:rPr>
                <w:rFonts w:ascii="Calibri" w:hAnsi="Calibri"/>
                <w:b w:val="0"/>
                <w:sz w:val="20"/>
              </w:rPr>
              <w:t>Free developer tiers of hosted inference services; the client is provider-agnostic so providers can be exchanged without code changes</w:t>
            </w:r>
          </w:p>
        </w:tc>
        <w:tc>
          <w:tcPr>
            <w:tcW w:type="dxa" w:w="2880"/>
          </w:tcPr>
          <w:p>
            <w:r>
              <w:rPr>
                <w:sz w:val="20"/>
              </w:rPr>
            </w:r>
            <w:r>
              <w:rPr>
                <w:rFonts w:ascii="Calibri" w:hAnsi="Calibri"/>
                <w:b w:val="0"/>
                <w:sz w:val="20"/>
              </w:rPr>
              <w:t>None to negligible</w:t>
            </w:r>
          </w:p>
        </w:tc>
      </w:tr>
      <w:tr>
        <w:tc>
          <w:tcPr>
            <w:tcW w:type="dxa" w:w="2880"/>
          </w:tcPr>
          <w:p>
            <w:r>
              <w:rPr>
                <w:sz w:val="20"/>
              </w:rPr>
            </w:r>
            <w:r>
              <w:rPr>
                <w:rFonts w:ascii="Calibri" w:hAnsi="Calibri"/>
                <w:b w:val="0"/>
                <w:sz w:val="20"/>
              </w:rPr>
              <w:t>Frontend hosting for review</w:t>
            </w:r>
          </w:p>
        </w:tc>
        <w:tc>
          <w:tcPr>
            <w:tcW w:type="dxa" w:w="2880"/>
          </w:tcPr>
          <w:p>
            <w:r>
              <w:rPr>
                <w:sz w:val="20"/>
              </w:rPr>
            </w:r>
            <w:r>
              <w:rPr>
                <w:rFonts w:ascii="Calibri" w:hAnsi="Calibri"/>
                <w:b w:val="0"/>
                <w:sz w:val="20"/>
              </w:rPr>
              <w:t>Free hobby tier of a deployment platform for preview builds</w:t>
            </w:r>
          </w:p>
        </w:tc>
        <w:tc>
          <w:tcPr>
            <w:tcW w:type="dxa" w:w="2880"/>
          </w:tcPr>
          <w:p>
            <w:r>
              <w:rPr>
                <w:sz w:val="20"/>
              </w:rPr>
            </w:r>
            <w:r>
              <w:rPr>
                <w:rFonts w:ascii="Calibri" w:hAnsi="Calibri"/>
                <w:b w:val="0"/>
                <w:sz w:val="20"/>
              </w:rPr>
              <w:t>None</w:t>
            </w:r>
          </w:p>
        </w:tc>
      </w:tr>
      <w:tr>
        <w:tc>
          <w:tcPr>
            <w:tcW w:type="dxa" w:w="2880"/>
          </w:tcPr>
          <w:p>
            <w:r>
              <w:rPr>
                <w:sz w:val="20"/>
              </w:rPr>
            </w:r>
            <w:r>
              <w:rPr>
                <w:rFonts w:ascii="Calibri" w:hAnsi="Calibri"/>
                <w:b w:val="0"/>
                <w:sz w:val="20"/>
              </w:rPr>
              <w:t>Version control and continuous integration</w:t>
            </w:r>
          </w:p>
        </w:tc>
        <w:tc>
          <w:tcPr>
            <w:tcW w:type="dxa" w:w="2880"/>
          </w:tcPr>
          <w:p>
            <w:r>
              <w:rPr>
                <w:sz w:val="20"/>
              </w:rPr>
            </w:r>
            <w:r>
              <w:rPr>
                <w:rFonts w:ascii="Calibri" w:hAnsi="Calibri"/>
                <w:b w:val="0"/>
                <w:sz w:val="20"/>
              </w:rPr>
              <w:t>Free tiers for private repositories</w:t>
            </w:r>
          </w:p>
        </w:tc>
        <w:tc>
          <w:tcPr>
            <w:tcW w:type="dxa" w:w="2880"/>
          </w:tcPr>
          <w:p>
            <w:r>
              <w:rPr>
                <w:sz w:val="20"/>
              </w:rPr>
            </w:r>
            <w:r>
              <w:rPr>
                <w:rFonts w:ascii="Calibri" w:hAnsi="Calibri"/>
                <w:b w:val="0"/>
                <w:sz w:val="20"/>
              </w:rPr>
              <w:t>None</w:t>
            </w:r>
          </w:p>
        </w:tc>
      </w:tr>
    </w:tbl>
    <w:p/>
    <w:p>
      <w:pPr>
        <w:pStyle w:val="Heading3"/>
      </w:pPr>
      <w:r>
        <w:rPr>
          <w:rFonts w:ascii="Calibri" w:hAnsi="Calibri"/>
          <w:b w:val="0"/>
          <w:sz w:val="22"/>
        </w:rPr>
        <w:t>Operational costs</w:t>
      </w:r>
    </w:p>
    <w:p>
      <w:pPr>
        <w:spacing w:after="160"/>
      </w:pPr>
      <w:r>
        <w:rPr>
          <w:rFonts w:ascii="Calibri" w:hAnsi="Calibri"/>
          <w:b w:val="0"/>
          <w:sz w:val="22"/>
        </w:rPr>
        <w:t>Operational costs during the project period remain within free tiers. A production deployment beyond the project would introduce modest recurring costs — managed hosting and database services, storage for client documents, and paid tiers of OCR or inference services if volumes grow — of the order of a small monthly subscription, which is low relative to the professional time the system saves. A domain name and TLS certificate are minor optional costs.</w:t>
      </w:r>
    </w:p>
    <w:p>
      <w:pPr>
        <w:pStyle w:val="Heading3"/>
      </w:pPr>
      <w:r>
        <w:rPr>
          <w:rFonts w:ascii="Calibri" w:hAnsi="Calibri"/>
          <w:b w:val="0"/>
          <w:sz w:val="22"/>
        </w:rPr>
        <w:t>Expected benefits</w:t>
      </w:r>
    </w:p>
    <w:p>
      <w:pPr>
        <w:pStyle w:val="ListBullet"/>
      </w:pPr>
      <w:r>
        <w:rPr>
          <w:rFonts w:ascii="Calibri" w:hAnsi="Calibri"/>
          <w:b w:val="0"/>
          <w:sz w:val="22"/>
        </w:rPr>
        <w:t>Reduced professional time per matter for examination of title, document reconciliation, and drafting.</w:t>
      </w:r>
    </w:p>
    <w:p>
      <w:pPr>
        <w:pStyle w:val="ListBullet"/>
      </w:pPr>
      <w:r>
        <w:rPr>
          <w:rFonts w:ascii="Calibri" w:hAnsi="Calibri"/>
          <w:b w:val="0"/>
          <w:sz w:val="22"/>
        </w:rPr>
        <w:t>Fewer transcription and consistency errors, reducing costly rework and professional risk.</w:t>
      </w:r>
    </w:p>
    <w:p>
      <w:pPr>
        <w:pStyle w:val="ListBullet"/>
      </w:pPr>
      <w:r>
        <w:rPr>
          <w:rFonts w:ascii="Calibri" w:hAnsi="Calibri"/>
          <w:b w:val="0"/>
          <w:sz w:val="22"/>
        </w:rPr>
        <w:t>Faster location of governing provisions and authority through grounded, step-aware retrieval.</w:t>
      </w:r>
    </w:p>
    <w:p>
      <w:pPr>
        <w:pStyle w:val="ListBullet"/>
      </w:pPr>
      <w:r>
        <w:rPr>
          <w:rFonts w:ascii="Calibri" w:hAnsi="Calibri"/>
          <w:b w:val="0"/>
          <w:sz w:val="22"/>
        </w:rPr>
        <w:t>A defensible verification and audit record, improving quality control within a practice.</w:t>
      </w:r>
    </w:p>
    <w:p>
      <w:pPr>
        <w:pStyle w:val="ListBullet"/>
      </w:pPr>
      <w:r>
        <w:rPr>
          <w:rFonts w:ascii="Calibri" w:hAnsi="Calibri"/>
          <w:b w:val="0"/>
          <w:sz w:val="22"/>
        </w:rPr>
        <w:t>A reusable structured corpus and matter-record foundation on which further regimes and the litigation track can be added at marginal cost.</w:t>
      </w:r>
    </w:p>
    <w:p>
      <w:pPr>
        <w:spacing w:after="160"/>
      </w:pPr>
      <w:r>
        <w:rPr>
          <w:rFonts w:ascii="Calibri" w:hAnsi="Calibri"/>
          <w:b w:val="0"/>
          <w:sz w:val="22"/>
        </w:rPr>
        <w:t>Because expected costs during development are effectively limited to already- available resources and free service tiers, while the addressed process is expensive in professional time and risk, the financial benefits clearly justify the costs. The project is financially feasible.</w:t>
      </w:r>
    </w:p>
    <w:p>
      <w:pPr>
        <w:pStyle w:val="Heading2"/>
      </w:pPr>
      <w:r>
        <w:rPr>
          <w:rFonts w:ascii="Calibri" w:hAnsi="Calibri"/>
          <w:b w:val="0"/>
          <w:sz w:val="22"/>
        </w:rPr>
        <w:t>2.2 Technical Feasibility</w:t>
      </w:r>
    </w:p>
    <w:p>
      <w:pPr>
        <w:spacing w:after="160"/>
      </w:pPr>
      <w:r>
        <w:rPr>
          <w:rFonts w:ascii="Calibri" w:hAnsi="Calibri"/>
          <w:b w:val="0"/>
          <w:sz w:val="22"/>
        </w:rPr>
        <w:t>The system is technically feasible because each of its components relies on stable, well-documented technologies, and because the highest-risk components have already been validated by working prototypes during the research phase.</w:t>
      </w:r>
    </w:p>
    <w:p>
      <w:pPr>
        <w:pStyle w:val="Heading3"/>
      </w:pPr>
      <w:r>
        <w:rPr>
          <w:rFonts w:ascii="Calibri" w:hAnsi="Calibri"/>
          <w:b w:val="0"/>
          <w:sz w:val="22"/>
        </w:rPr>
        <w:t>Architecture</w:t>
      </w:r>
    </w:p>
    <w:p>
      <w:pPr>
        <w:spacing w:after="160"/>
      </w:pPr>
      <w:r>
        <w:rPr>
          <w:rFonts w:ascii="Calibri" w:hAnsi="Calibri"/>
          <w:b w:val="0"/>
          <w:sz w:val="22"/>
        </w:rPr>
        <w:t>The architecture comprises: a Next.js web application (matter workspace, verification interface, draft editor); a FastAPI service layer exposing the document pipeline and retrieval engine; a PostgreSQL store for matters, facts, drafts, versions, and audit records; a document-processing pipeline (OCR, classification, field extraction with source spans); and a deterministic retrieval engine over a curated statutory and case-law corpus, with bounded, validated language-model passes for constrained enrichment tasks.</w:t>
      </w:r>
    </w:p>
    <w:p>
      <w:pPr>
        <w:pStyle w:val="Heading3"/>
      </w:pPr>
      <w:r>
        <w:rPr>
          <w:rFonts w:ascii="Calibri" w:hAnsi="Calibri"/>
          <w:b w:val="0"/>
          <w:sz w:val="22"/>
        </w:rPr>
        <w:t>Grounds for technical confidence</w:t>
      </w:r>
    </w:p>
    <w:p>
      <w:pPr>
        <w:pStyle w:val="ListBullet"/>
      </w:pPr>
      <w:r>
        <w:rPr>
          <w:rFonts w:ascii="Calibri" w:hAnsi="Calibri"/>
          <w:b/>
          <w:sz w:val="22"/>
        </w:rPr>
        <w:t>Stable technologies with strong documentation.</w:t>
      </w:r>
      <w:r>
        <w:rPr>
          <w:rFonts w:ascii="Calibri" w:hAnsi="Calibri"/>
          <w:b w:val="0"/>
          <w:sz w:val="22"/>
        </w:rPr>
        <w:t xml:space="preserve"> Every core framework — Next.js [4], FastAPI [6], PostgreSQL [7], Tiptap [5] — is mature, widely deployed, actively maintained, and comprehensively documented, and the components interoperate over standard typed HTTP interfaces.</w:t>
      </w:r>
    </w:p>
    <w:p>
      <w:pPr>
        <w:pStyle w:val="ListBullet"/>
      </w:pPr>
      <w:r>
        <w:rPr>
          <w:rFonts w:ascii="Calibri" w:hAnsi="Calibri"/>
          <w:b/>
          <w:sz w:val="22"/>
        </w:rPr>
        <w:t>Validated prototypes for the hardest components.</w:t>
      </w:r>
      <w:r>
        <w:rPr>
          <w:rFonts w:ascii="Calibri" w:hAnsi="Calibri"/>
          <w:b w:val="0"/>
          <w:sz w:val="22"/>
        </w:rPr>
        <w:t xml:space="preserve"> During the research phase, a normalised corpus of more than nine thousand statutory and case-law documents was constructed with verified integrity; a statutes-only question-answering prototype produced grounded, claim-cited answers with explicit abstention on insufficient authority; and lexical retrieval baselines with a citation graph were implemented and measured. These prototypes demonstrate that the retrieval and grounding design works on the real corpus before full development begins.</w:t>
      </w:r>
    </w:p>
    <w:p>
      <w:pPr>
        <w:pStyle w:val="ListBullet"/>
      </w:pPr>
      <w:r>
        <w:rPr>
          <w:rFonts w:ascii="Calibri" w:hAnsi="Calibri"/>
          <w:b/>
          <w:sz w:val="22"/>
        </w:rPr>
        <w:t>Deterministic core, bounded model use.</w:t>
      </w:r>
      <w:r>
        <w:rPr>
          <w:rFonts w:ascii="Calibri" w:hAnsi="Calibri"/>
          <w:b w:val="0"/>
          <w:sz w:val="22"/>
        </w:rPr>
        <w:t xml:space="preserve"> The consistency checks and the retrieval ranking are deterministic and reproducible. Language models are used only inside bounded tasks (closed choices, validated outputs, mandatory citations, abstention), so system correctness is guarded by validation layers rather than by model behaviour.</w:t>
      </w:r>
    </w:p>
    <w:p>
      <w:pPr>
        <w:pStyle w:val="ListBullet"/>
      </w:pPr>
      <w:r>
        <w:rPr>
          <w:rFonts w:ascii="Calibri" w:hAnsi="Calibri"/>
          <w:b/>
          <w:sz w:val="22"/>
        </w:rPr>
        <w:t>Editor enforcement by schema.</w:t>
      </w:r>
      <w:r>
        <w:rPr>
          <w:rFonts w:ascii="Calibri" w:hAnsi="Calibri"/>
          <w:b w:val="0"/>
          <w:sz w:val="22"/>
        </w:rPr>
        <w:t xml:space="preserve"> The requirement that no unverified fact can enter a draft is enforced structurally by the editor's document schema rather than by user discipline, which is a proven capability of the selected editor framework.</w:t>
      </w:r>
    </w:p>
    <w:p>
      <w:pPr>
        <w:pStyle w:val="ListBullet"/>
      </w:pPr>
      <w:r>
        <w:rPr>
          <w:rFonts w:ascii="Calibri" w:hAnsi="Calibri"/>
          <w:b/>
          <w:sz w:val="22"/>
        </w:rPr>
        <w:t>OCR is tiered and human-backed.</w:t>
      </w:r>
      <w:r>
        <w:rPr>
          <w:rFonts w:ascii="Calibri" w:hAnsi="Calibri"/>
          <w:b w:val="0"/>
          <w:sz w:val="22"/>
        </w:rPr>
        <w:t xml:space="preserve"> Sinhala OCR quality on old scans is the least predictable element; the design accepts this by routing difficult documents through progressively stronger engines and, where extraction fails, falling back to manual entry with the same verification workflow. The system therefore degrades gracefully rather than failing.</w:t>
      </w:r>
    </w:p>
    <w:p>
      <w:pPr>
        <w:pStyle w:val="ListBullet"/>
      </w:pPr>
      <w:r>
        <w:rPr>
          <w:rFonts w:ascii="Calibri" w:hAnsi="Calibri"/>
          <w:b/>
          <w:sz w:val="22"/>
        </w:rPr>
        <w:t>Scalability and maintainability.</w:t>
      </w:r>
      <w:r>
        <w:rPr>
          <w:rFonts w:ascii="Calibri" w:hAnsi="Calibri"/>
          <w:b w:val="0"/>
          <w:sz w:val="22"/>
        </w:rPr>
        <w:t xml:space="preserve"> The chosen stack scales vertically and horizontally through conventional means (stateless services, indexed relational storage, cacheable retrieval indexes), and the codebase is modular with typed contracts between frontend, backend, and engine.</w:t>
      </w:r>
    </w:p>
    <w:p>
      <w:pPr>
        <w:spacing w:after="160"/>
      </w:pPr>
      <w:r>
        <w:rPr>
          <w:rFonts w:ascii="Calibri" w:hAnsi="Calibri"/>
          <w:b w:val="0"/>
          <w:sz w:val="22"/>
        </w:rPr>
        <w:t>The initially selected technologies may be adjusted during development where more suitable alternatives are identified. On the evidence of the validated prototypes and the maturity of the selected technologies, the project is technically feasible.</w:t>
      </w:r>
    </w:p>
    <w:p>
      <w:pPr>
        <w:pStyle w:val="Heading2"/>
      </w:pPr>
      <w:r>
        <w:rPr>
          <w:rFonts w:ascii="Calibri" w:hAnsi="Calibri"/>
          <w:b w:val="0"/>
          <w:sz w:val="22"/>
        </w:rPr>
        <w:t>2.3 Resource and Time Feasibility</w:t>
      </w:r>
    </w:p>
    <w:p>
      <w:pPr>
        <w:pStyle w:val="Heading3"/>
      </w:pPr>
      <w:r>
        <w:rPr>
          <w:rFonts w:ascii="Calibri" w:hAnsi="Calibri"/>
          <w:b w:val="0"/>
          <w:sz w:val="22"/>
        </w:rPr>
        <w:t>Hardware requirements</w:t>
      </w:r>
    </w:p>
    <w:p>
      <w:pPr>
        <w:pStyle w:val="ListBullet"/>
      </w:pPr>
      <w:r>
        <w:rPr>
          <w:rFonts w:ascii="Calibri" w:hAnsi="Calibri"/>
          <w:b w:val="0"/>
          <w:sz w:val="22"/>
        </w:rPr>
        <w:t>Three development computers (already available).</w:t>
      </w:r>
    </w:p>
    <w:p>
      <w:pPr>
        <w:pStyle w:val="ListBullet"/>
      </w:pPr>
      <w:r>
        <w:rPr>
          <w:rFonts w:ascii="Calibri" w:hAnsi="Calibri"/>
          <w:b w:val="0"/>
          <w:sz w:val="22"/>
        </w:rPr>
        <w:t>No dedicated GPU hardware: model inference is consumed as hosted services and the retrieval core is deterministic.</w:t>
      </w:r>
    </w:p>
    <w:p>
      <w:pPr>
        <w:pStyle w:val="ListBullet"/>
      </w:pPr>
      <w:r>
        <w:rPr>
          <w:rFonts w:ascii="Calibri" w:hAnsi="Calibri"/>
          <w:b w:val="0"/>
          <w:sz w:val="22"/>
        </w:rPr>
        <w:t>Cloud compute limited to free-tier hosting for preview deployments and a capped cloud OCR budget.</w:t>
      </w:r>
    </w:p>
    <w:p>
      <w:pPr>
        <w:pStyle w:val="ListBullet"/>
      </w:pPr>
      <w:r>
        <w:rPr>
          <w:rFonts w:ascii="Calibri" w:hAnsi="Calibri"/>
          <w:b w:val="0"/>
          <w:sz w:val="22"/>
        </w:rPr>
        <w:t>Ordinary broadband network connections and external backup storage.</w:t>
      </w:r>
    </w:p>
    <w:p>
      <w:pPr>
        <w:pStyle w:val="Heading3"/>
      </w:pPr>
      <w:r>
        <w:rPr>
          <w:rFonts w:ascii="Calibri" w:hAnsi="Calibri"/>
          <w:b w:val="0"/>
          <w:sz w:val="22"/>
        </w:rPr>
        <w:t>Software requirements</w:t>
      </w:r>
    </w:p>
    <w:p>
      <w:pPr>
        <w:pStyle w:val="ListBullet"/>
      </w:pPr>
      <w:r>
        <w:rPr>
          <w:rFonts w:ascii="Calibri" w:hAnsi="Calibri"/>
          <w:b w:val="0"/>
          <w:sz w:val="22"/>
        </w:rPr>
        <w:t>Operating systems and editors already in use by the team.</w:t>
      </w:r>
    </w:p>
    <w:p>
      <w:pPr>
        <w:pStyle w:val="ListBullet"/>
      </w:pPr>
      <w:r>
        <w:rPr>
          <w:rFonts w:ascii="Calibri" w:hAnsi="Calibri"/>
          <w:b w:val="0"/>
          <w:sz w:val="22"/>
        </w:rPr>
        <w:t>Open-source frameworks and tools: Next.js, FastAPI, PostgreSQL, Tiptap, Playwright, Git.</w:t>
      </w:r>
    </w:p>
    <w:p>
      <w:pPr>
        <w:pStyle w:val="ListBullet"/>
      </w:pPr>
      <w:r>
        <w:rPr>
          <w:rFonts w:ascii="Calibri" w:hAnsi="Calibri"/>
          <w:b w:val="0"/>
          <w:sz w:val="22"/>
        </w:rPr>
        <w:t>Free-tier cloud services: repository hosting and continuous integration, frontend preview hosting, hosted inference for bounded tasks.</w:t>
      </w:r>
    </w:p>
    <w:p>
      <w:pPr>
        <w:pStyle w:val="ListBullet"/>
      </w:pPr>
      <w:r>
        <w:rPr>
          <w:rFonts w:ascii="Calibri" w:hAnsi="Calibri"/>
          <w:b w:val="0"/>
          <w:sz w:val="22"/>
        </w:rPr>
        <w:t>Project management through the team's existing issue tracker.</w:t>
      </w:r>
    </w:p>
    <w:p>
      <w:pPr>
        <w:pStyle w:val="Heading3"/>
      </w:pPr>
      <w:r>
        <w:rPr>
          <w:rFonts w:ascii="Calibri" w:hAnsi="Calibri"/>
          <w:b w:val="0"/>
          <w:sz w:val="22"/>
        </w:rPr>
        <w:t>Human resources</w:t>
      </w:r>
    </w:p>
    <w:p>
      <w:pPr>
        <w:pStyle w:val="ListBullet"/>
      </w:pPr>
      <w:r>
        <w:rPr>
          <w:rFonts w:ascii="Calibri" w:hAnsi="Calibri"/>
          <w:b/>
          <w:sz w:val="22"/>
        </w:rPr>
        <w:t>Three developers</w:t>
      </w:r>
      <w:r>
        <w:rPr>
          <w:rFonts w:ascii="Calibri" w:hAnsi="Calibri"/>
          <w:b w:val="0"/>
          <w:sz w:val="22"/>
        </w:rPr>
        <w:t>, dividing the work into three parallel workstreams: document processing and extraction; data and legal corpus with the retrieval engine; and templates, outputs, and the lawyer-facing interface.</w:t>
      </w:r>
    </w:p>
    <w:p>
      <w:pPr>
        <w:pStyle w:val="ListBullet"/>
      </w:pPr>
      <w:r>
        <w:rPr>
          <w:rFonts w:ascii="Calibri" w:hAnsi="Calibri"/>
          <w:b/>
          <w:sz w:val="22"/>
        </w:rPr>
        <w:t>A domain expert mentor</w:t>
      </w:r>
      <w:r>
        <w:rPr>
          <w:rFonts w:ascii="Calibri" w:hAnsi="Calibri"/>
          <w:b w:val="0"/>
          <w:sz w:val="22"/>
        </w:rPr>
        <w:t xml:space="preserve"> — a senior practitioner and law lecturer — who supplies the syllabus structure, statutes, sample instruments, and worked examples, and validates workflow order, terminology, and outputs.</w:t>
      </w:r>
    </w:p>
    <w:p>
      <w:pPr>
        <w:pStyle w:val="ListBullet"/>
      </w:pPr>
      <w:r>
        <w:rPr>
          <w:rFonts w:ascii="Calibri" w:hAnsi="Calibri"/>
          <w:b/>
          <w:sz w:val="22"/>
        </w:rPr>
        <w:t>An academic supervisor</w:t>
      </w:r>
      <w:r>
        <w:rPr>
          <w:rFonts w:ascii="Calibri" w:hAnsi="Calibri"/>
          <w:b w:val="0"/>
          <w:sz w:val="22"/>
        </w:rPr>
        <w:t xml:space="preserve"> providing research direction, and project mentoring through the module's supervision arrangements.</w:t>
      </w:r>
    </w:p>
    <w:p>
      <w:pPr>
        <w:pStyle w:val="Heading3"/>
      </w:pPr>
      <w:r>
        <w:rPr>
          <w:rFonts w:ascii="Calibri" w:hAnsi="Calibri"/>
          <w:b w:val="0"/>
          <w:sz w:val="22"/>
        </w:rPr>
        <w:t>Time feasibility</w:t>
      </w:r>
    </w:p>
    <w:p>
      <w:pPr>
        <w:spacing w:after="160"/>
      </w:pPr>
      <w:r>
        <w:rPr>
          <w:rFonts w:ascii="Calibri" w:hAnsi="Calibri"/>
          <w:b w:val="0"/>
          <w:sz w:val="22"/>
        </w:rPr>
        <w:t>The project period is organised into staged milestones:</w:t>
      </w:r>
    </w:p>
    <w:p>
      <w:pPr>
        <w:pStyle w:val="ListNumber"/>
      </w:pPr>
      <w:r>
        <w:rPr>
          <w:rFonts w:ascii="Calibri" w:hAnsi="Calibri"/>
          <w:b w:val="0"/>
          <w:sz w:val="22"/>
        </w:rPr>
        <w:t>Requirement gathering, domain study, and feasibility analysis (complete: mentor-guided domain model, corpus acquisition, and interface specification).</w:t>
      </w:r>
    </w:p>
    <w:p>
      <w:pPr>
        <w:pStyle w:val="ListNumber"/>
      </w:pPr>
      <w:r>
        <w:rPr>
          <w:rFonts w:ascii="Calibri" w:hAnsi="Calibri"/>
          <w:b w:val="0"/>
          <w:sz w:val="22"/>
        </w:rPr>
        <w:t>Contracts and foundations: the shared matter-record and step-definition contracts that all workstreams build against.</w:t>
      </w:r>
    </w:p>
    <w:p>
      <w:pPr>
        <w:pStyle w:val="ListNumber"/>
      </w:pPr>
      <w:r>
        <w:rPr>
          <w:rFonts w:ascii="Calibri" w:hAnsi="Calibri"/>
          <w:b w:val="0"/>
          <w:sz w:val="22"/>
        </w:rPr>
        <w:t>Engine and content track: retrieval engine hardening, evaluation sets, and rule/check catalogue — in parallel with the interface track below.</w:t>
      </w:r>
    </w:p>
    <w:p>
      <w:pPr>
        <w:pStyle w:val="ListNumber"/>
      </w:pPr>
      <w:r>
        <w:rPr>
          <w:rFonts w:ascii="Calibri" w:hAnsi="Calibri"/>
          <w:b w:val="0"/>
          <w:sz w:val="22"/>
        </w:rPr>
        <w:t>Interface track: the full workspace built against typed mock data, matched to the approved interface specification.</w:t>
      </w:r>
    </w:p>
    <w:p>
      <w:pPr>
        <w:pStyle w:val="ListNumber"/>
      </w:pPr>
      <w:r>
        <w:rPr>
          <w:rFonts w:ascii="Calibri" w:hAnsi="Calibri"/>
          <w:b w:val="0"/>
          <w:sz w:val="22"/>
        </w:rPr>
        <w:t>Integration: the interface wired to the service layer, producing the first end-to-end demonstrable path (matter creation through verified facts, checks, grounded answers, and an approved exported draft).</w:t>
      </w:r>
    </w:p>
    <w:p>
      <w:pPr>
        <w:pStyle w:val="ListNumber"/>
      </w:pPr>
      <w:r>
        <w:rPr>
          <w:rFonts w:ascii="Calibri" w:hAnsi="Calibri"/>
          <w:b w:val="0"/>
          <w:sz w:val="22"/>
        </w:rPr>
        <w:t>Completion of the remaining workflows, bilingual polish, evaluation against lawyer-verified labels, and hardening.</w:t>
      </w:r>
    </w:p>
    <w:p>
      <w:pPr>
        <w:pStyle w:val="ListNumber"/>
      </w:pPr>
      <w:r>
        <w:rPr>
          <w:rFonts w:ascii="Calibri" w:hAnsi="Calibri"/>
          <w:b w:val="0"/>
          <w:sz w:val="22"/>
        </w:rPr>
        <w:t>Testing, user evaluation with the mentor, documentation, and final reporting.</w:t>
      </w:r>
    </w:p>
    <w:p>
      <w:pPr>
        <w:spacing w:after="160"/>
      </w:pPr>
      <w:r>
        <w:rPr>
          <w:rFonts w:ascii="Calibri" w:hAnsi="Calibri"/>
          <w:b w:val="0"/>
          <w:sz w:val="22"/>
        </w:rPr>
        <w:t>Because the workstreams are parallel, the highest-risk components already have working prototypes, and the interface can be developed against mock data without waiting for the backend, the available time and resources are sufficient for the planned scope. The staged plan also defines a minimal demonstrable product early (stage 5), protecting the schedule against overruns in later stages.</w:t>
      </w:r>
    </w:p>
    <w:p>
      <w:pPr>
        <w:pStyle w:val="Heading2"/>
      </w:pPr>
      <w:r>
        <w:rPr>
          <w:rFonts w:ascii="Calibri" w:hAnsi="Calibri"/>
          <w:b w:val="0"/>
          <w:sz w:val="22"/>
        </w:rPr>
        <w:t>2.4 Risk Feasibility</w:t>
      </w:r>
    </w:p>
    <w:p>
      <w:pPr>
        <w:pStyle w:val="Heading3"/>
      </w:pPr>
      <w:r>
        <w:rPr>
          <w:rFonts w:ascii="Calibri" w:hAnsi="Calibri"/>
          <w:b w:val="0"/>
          <w:sz w:val="22"/>
        </w:rPr>
        <w:t>Requirements risk</w:t>
      </w:r>
    </w:p>
    <w:p>
      <w:pPr>
        <w:spacing w:after="160"/>
      </w:pPr>
      <w:r>
        <w:rPr>
          <w:rFonts w:ascii="Calibri" w:hAnsi="Calibri"/>
          <w:b/>
          <w:sz w:val="22"/>
        </w:rPr>
        <w:t>Risk:</w:t>
      </w:r>
      <w:r>
        <w:rPr>
          <w:rFonts w:ascii="Calibri" w:hAnsi="Calibri"/>
          <w:b w:val="0"/>
          <w:sz w:val="22"/>
        </w:rPr>
        <w:t xml:space="preserve"> The legal-domain requirements are intricate, and misunderstanding the notarial workflow or statutory requirements would produce an unusable system.</w:t>
      </w:r>
    </w:p>
    <w:p>
      <w:pPr>
        <w:spacing w:after="160"/>
      </w:pPr>
      <w:r>
        <w:rPr>
          <w:rFonts w:ascii="Calibri" w:hAnsi="Calibri"/>
          <w:b/>
          <w:sz w:val="22"/>
        </w:rPr>
        <w:t>Mitigation:</w:t>
      </w:r>
      <w:r>
        <w:rPr>
          <w:rFonts w:ascii="Calibri" w:hAnsi="Calibri"/>
          <w:b w:val="0"/>
          <w:sz w:val="22"/>
        </w:rPr>
        <w:t xml:space="preserve"> Requirements are grounded in recorded sessions with the domain expert mentor and in the primary sources themselves; the interface specification is reviewed with the mentor before implementation; prototypes are validated with the mentor at each milestone; and changes are managed through a controlled, documented process.</w:t>
      </w:r>
    </w:p>
    <w:p>
      <w:pPr>
        <w:pStyle w:val="Heading3"/>
      </w:pPr>
      <w:r>
        <w:rPr>
          <w:rFonts w:ascii="Calibri" w:hAnsi="Calibri"/>
          <w:b w:val="0"/>
          <w:sz w:val="22"/>
        </w:rPr>
        <w:t>Schedule risk</w:t>
      </w:r>
    </w:p>
    <w:p>
      <w:pPr>
        <w:spacing w:after="160"/>
      </w:pPr>
      <w:r>
        <w:rPr>
          <w:rFonts w:ascii="Calibri" w:hAnsi="Calibri"/>
          <w:b/>
          <w:sz w:val="22"/>
        </w:rPr>
        <w:t>Risk:</w:t>
      </w:r>
      <w:r>
        <w:rPr>
          <w:rFonts w:ascii="Calibri" w:hAnsi="Calibri"/>
          <w:b w:val="0"/>
          <w:sz w:val="22"/>
        </w:rPr>
        <w:t xml:space="preserve"> Development tasks, particularly document processing and the bilingual interface, may take longer than expected.</w:t>
      </w:r>
    </w:p>
    <w:p>
      <w:pPr>
        <w:spacing w:after="160"/>
      </w:pPr>
      <w:r>
        <w:rPr>
          <w:rFonts w:ascii="Calibri" w:hAnsi="Calibri"/>
          <w:b/>
          <w:sz w:val="22"/>
        </w:rPr>
        <w:t>Mitigation:</w:t>
      </w:r>
      <w:r>
        <w:rPr>
          <w:rFonts w:ascii="Calibri" w:hAnsi="Calibri"/>
          <w:b w:val="0"/>
          <w:sz w:val="22"/>
        </w:rPr>
        <w:t xml:space="preserve"> The project is divided into staged milestones with an early minimal demonstrable product; essential features are prioritised; workstreams run in parallel behind frozen contracts; progress is monitored against the issue tracker; and time buffers are maintained for the high-risk extraction and integration stages.</w:t>
      </w:r>
    </w:p>
    <w:p>
      <w:pPr>
        <w:pStyle w:val="Heading3"/>
      </w:pPr>
      <w:r>
        <w:rPr>
          <w:rFonts w:ascii="Calibri" w:hAnsi="Calibri"/>
          <w:b w:val="0"/>
          <w:sz w:val="22"/>
        </w:rPr>
        <w:t>Technical integration risk</w:t>
      </w:r>
    </w:p>
    <w:p>
      <w:pPr>
        <w:spacing w:after="160"/>
      </w:pPr>
      <w:r>
        <w:rPr>
          <w:rFonts w:ascii="Calibri" w:hAnsi="Calibri"/>
          <w:b/>
          <w:sz w:val="22"/>
        </w:rPr>
        <w:t>Risk:</w:t>
      </w:r>
      <w:r>
        <w:rPr>
          <w:rFonts w:ascii="Calibri" w:hAnsi="Calibri"/>
          <w:b w:val="0"/>
          <w:sz w:val="22"/>
        </w:rPr>
        <w:t xml:space="preserve"> Components developed in parallel (interface, service layer, pipeline, engine) may not integrate cleanly.</w:t>
      </w:r>
    </w:p>
    <w:p>
      <w:pPr>
        <w:spacing w:after="160"/>
      </w:pPr>
      <w:r>
        <w:rPr>
          <w:rFonts w:ascii="Calibri" w:hAnsi="Calibri"/>
          <w:b/>
          <w:sz w:val="22"/>
        </w:rPr>
        <w:t>Mitigation:</w:t>
      </w:r>
      <w:r>
        <w:rPr>
          <w:rFonts w:ascii="Calibri" w:hAnsi="Calibri"/>
          <w:b w:val="0"/>
          <w:sz w:val="22"/>
        </w:rPr>
        <w:t xml:space="preserve"> Shared typed contracts are defined and frozen first; the interface is built against mock data that mirrors the engine's real output shapes; integration proceeds screen by screen beginning with the component whose backend is already validated; and integration checkpoints are tested end to end.</w:t>
      </w:r>
    </w:p>
    <w:p>
      <w:pPr>
        <w:pStyle w:val="Heading3"/>
      </w:pPr>
      <w:r>
        <w:rPr>
          <w:rFonts w:ascii="Calibri" w:hAnsi="Calibri"/>
          <w:b w:val="0"/>
          <w:sz w:val="22"/>
        </w:rPr>
        <w:t>Data-quality risk</w:t>
      </w:r>
    </w:p>
    <w:p>
      <w:pPr>
        <w:spacing w:after="160"/>
      </w:pPr>
      <w:r>
        <w:rPr>
          <w:rFonts w:ascii="Calibri" w:hAnsi="Calibri"/>
          <w:b/>
          <w:sz w:val="22"/>
        </w:rPr>
        <w:t>Risk:</w:t>
      </w:r>
      <w:r>
        <w:rPr>
          <w:rFonts w:ascii="Calibri" w:hAnsi="Calibri"/>
          <w:b w:val="0"/>
          <w:sz w:val="22"/>
        </w:rPr>
        <w:t xml:space="preserve"> Scanned Sinhala documents, legacy fonts, and degraded source material may yield poor extraction, and portions of the legal corpus may contain OCR artefacts.</w:t>
      </w:r>
    </w:p>
    <w:p>
      <w:pPr>
        <w:spacing w:after="160"/>
      </w:pPr>
      <w:r>
        <w:rPr>
          <w:rFonts w:ascii="Calibri" w:hAnsi="Calibri"/>
          <w:b/>
          <w:sz w:val="22"/>
        </w:rPr>
        <w:t>Mitigation:</w:t>
      </w:r>
      <w:r>
        <w:rPr>
          <w:rFonts w:ascii="Calibri" w:hAnsi="Calibri"/>
          <w:b w:val="0"/>
          <w:sz w:val="22"/>
        </w:rPr>
        <w:t xml:space="preserve"> A tiered OCR strategy with recorded per-document processing status; extraction confidence surfaced to the user; mandatory lawyer verification before any fact is used; manual-entry fallback for unreadable fields; known-defective corpus segments quarantined and excluded from answer evidence until re-extracted; and data-quality checks in the corpus build pipeline.</w:t>
      </w:r>
    </w:p>
    <w:p>
      <w:pPr>
        <w:pStyle w:val="Heading3"/>
      </w:pPr>
      <w:r>
        <w:rPr>
          <w:rFonts w:ascii="Calibri" w:hAnsi="Calibri"/>
          <w:b w:val="0"/>
          <w:sz w:val="22"/>
        </w:rPr>
        <w:t>Model-reliability risk</w:t>
      </w:r>
    </w:p>
    <w:p>
      <w:pPr>
        <w:spacing w:after="160"/>
      </w:pPr>
      <w:r>
        <w:rPr>
          <w:rFonts w:ascii="Calibri" w:hAnsi="Calibri"/>
          <w:b/>
          <w:sz w:val="22"/>
        </w:rPr>
        <w:t>Risk:</w:t>
      </w:r>
      <w:r>
        <w:rPr>
          <w:rFonts w:ascii="Calibri" w:hAnsi="Calibri"/>
          <w:b w:val="0"/>
          <w:sz w:val="22"/>
        </w:rPr>
        <w:t xml:space="preserve"> Language-model components may produce plausible but incorrect output — fabricated citations, misattributed statutes, or rules taken out of context — which is unacceptable in legal work.</w:t>
      </w:r>
    </w:p>
    <w:p>
      <w:pPr>
        <w:spacing w:after="160"/>
      </w:pPr>
      <w:r>
        <w:rPr>
          <w:rFonts w:ascii="Calibri" w:hAnsi="Calibri"/>
          <w:b/>
          <w:sz w:val="22"/>
        </w:rPr>
        <w:t>Mitigation:</w:t>
      </w:r>
      <w:r>
        <w:rPr>
          <w:rFonts w:ascii="Calibri" w:hAnsi="Calibri"/>
          <w:b w:val="0"/>
          <w:sz w:val="22"/>
        </w:rPr>
        <w:t xml:space="preserve"> Models are confined to bounded tasks with closed choices and validated outputs; every generated claim must carry a citation that resolves against the corpus; an entailment-style verifier checks claims against the cited evidence; the system abstains explicitly when authority is insufficient; all machine-generated legal links and rules remain marked unverified until reviewed by a lawyer; and measured evaluation gates any capability before it is presented as reliable. Machine confidence is never displayed as legal approval.</w:t>
      </w:r>
    </w:p>
    <w:p>
      <w:pPr>
        <w:pStyle w:val="Heading3"/>
      </w:pPr>
      <w:r>
        <w:rPr>
          <w:rFonts w:ascii="Calibri" w:hAnsi="Calibri"/>
          <w:b w:val="0"/>
          <w:sz w:val="22"/>
        </w:rPr>
        <w:t>Security risk</w:t>
      </w:r>
    </w:p>
    <w:p>
      <w:pPr>
        <w:spacing w:after="160"/>
      </w:pPr>
      <w:r>
        <w:rPr>
          <w:rFonts w:ascii="Calibri" w:hAnsi="Calibri"/>
          <w:b/>
          <w:sz w:val="22"/>
        </w:rPr>
        <w:t>Risk:</w:t>
      </w:r>
      <w:r>
        <w:rPr>
          <w:rFonts w:ascii="Calibri" w:hAnsi="Calibri"/>
          <w:b w:val="0"/>
          <w:sz w:val="22"/>
        </w:rPr>
        <w:t xml:space="preserve"> Unauthorised access to matters and client documents.</w:t>
      </w:r>
    </w:p>
    <w:p>
      <w:pPr>
        <w:spacing w:after="160"/>
      </w:pPr>
      <w:r>
        <w:rPr>
          <w:rFonts w:ascii="Calibri" w:hAnsi="Calibri"/>
          <w:b/>
          <w:sz w:val="22"/>
        </w:rPr>
        <w:t>Mitigation:</w:t>
      </w:r>
      <w:r>
        <w:rPr>
          <w:rFonts w:ascii="Calibri" w:hAnsi="Calibri"/>
          <w:b w:val="0"/>
          <w:sz w:val="22"/>
        </w:rPr>
        <w:t xml:space="preserve"> Authentication with role-based access control; protected document storage; encryption in transit; audit logging of all consequential actions; secure coding practices and dependency review; and security testing before deployment.</w:t>
      </w:r>
    </w:p>
    <w:p>
      <w:pPr>
        <w:pStyle w:val="Heading3"/>
      </w:pPr>
      <w:r>
        <w:rPr>
          <w:rFonts w:ascii="Calibri" w:hAnsi="Calibri"/>
          <w:b w:val="0"/>
          <w:sz w:val="22"/>
        </w:rPr>
        <w:t>Privacy risk</w:t>
      </w:r>
    </w:p>
    <w:p>
      <w:pPr>
        <w:spacing w:after="160"/>
      </w:pPr>
      <w:r>
        <w:rPr>
          <w:rFonts w:ascii="Calibri" w:hAnsi="Calibri"/>
          <w:b/>
          <w:sz w:val="22"/>
        </w:rPr>
        <w:t>Risk:</w:t>
      </w:r>
      <w:r>
        <w:rPr>
          <w:rFonts w:ascii="Calibri" w:hAnsi="Calibri"/>
          <w:b w:val="0"/>
          <w:sz w:val="22"/>
        </w:rPr>
        <w:t xml:space="preserve"> Conveyancing bundles contain sensitive personal data — identities, addresses, and property particulars — whose exposure would be a serious breach.</w:t>
      </w:r>
    </w:p>
    <w:p>
      <w:pPr>
        <w:spacing w:after="160"/>
      </w:pPr>
      <w:r>
        <w:rPr>
          <w:rFonts w:ascii="Calibri" w:hAnsi="Calibri"/>
          <w:b/>
          <w:sz w:val="22"/>
        </w:rPr>
        <w:t>Mitigation:</w:t>
      </w:r>
      <w:r>
        <w:rPr>
          <w:rFonts w:ascii="Calibri" w:hAnsi="Calibri"/>
          <w:b w:val="0"/>
          <w:sz w:val="22"/>
        </w:rPr>
        <w:t xml:space="preserve"> Real client material is confined to a restricted research store and is never committed to shared repositories or demonstrations; all demonstration and evaluation content is synthetic or anonymised while preserving document structure; self-hosted processing is preferred for real client documents; access is restricted by role; and data minimisation and retention rules are applied in line with the Personal Data Protection Act, No. 9 of 2022 [10].</w:t>
      </w:r>
    </w:p>
    <w:p>
      <w:pPr>
        <w:pStyle w:val="Heading3"/>
      </w:pPr>
      <w:r>
        <w:rPr>
          <w:rFonts w:ascii="Calibri" w:hAnsi="Calibri"/>
          <w:b w:val="0"/>
          <w:sz w:val="22"/>
        </w:rPr>
        <w:t>External-service risk</w:t>
      </w:r>
    </w:p>
    <w:p>
      <w:pPr>
        <w:spacing w:after="160"/>
      </w:pPr>
      <w:r>
        <w:rPr>
          <w:rFonts w:ascii="Calibri" w:hAnsi="Calibri"/>
          <w:b/>
          <w:sz w:val="22"/>
        </w:rPr>
        <w:t>Risk:</w:t>
      </w:r>
      <w:r>
        <w:rPr>
          <w:rFonts w:ascii="Calibri" w:hAnsi="Calibri"/>
          <w:b w:val="0"/>
          <w:sz w:val="22"/>
        </w:rPr>
        <w:t xml:space="preserve"> Hosted OCR and inference services may impose quota limits, change pricing, or become unavailable; free-tier quotas have been exhausted mid-task during the research phase.</w:t>
      </w:r>
    </w:p>
    <w:p>
      <w:pPr>
        <w:spacing w:after="160"/>
      </w:pPr>
      <w:r>
        <w:rPr>
          <w:rFonts w:ascii="Calibri" w:hAnsi="Calibri"/>
          <w:b/>
          <w:sz w:val="22"/>
        </w:rPr>
        <w:t>Mitigation:</w:t>
      </w:r>
      <w:r>
        <w:rPr>
          <w:rFonts w:ascii="Calibri" w:hAnsi="Calibri"/>
          <w:b w:val="0"/>
          <w:sz w:val="22"/>
        </w:rPr>
        <w:t xml:space="preserve"> The inference client is provider-agnostic behind a standard interface, so providers can be exchanged without code changes; local open-source fallbacks exist for OCR and can exist for inference; long-running jobs are checkpointed and resumable; cloud usage is budgeted and metered against a recorded ceiling; and the demonstration path runs fully on local data without live external dependencies.</w:t>
      </w:r>
    </w:p>
    <w:p>
      <w:pPr>
        <w:pStyle w:val="Heading3"/>
      </w:pPr>
      <w:r>
        <w:rPr>
          <w:rFonts w:ascii="Calibri" w:hAnsi="Calibri"/>
          <w:b w:val="0"/>
          <w:sz w:val="22"/>
        </w:rPr>
        <w:t>Performance risk</w:t>
      </w:r>
    </w:p>
    <w:p>
      <w:pPr>
        <w:spacing w:after="160"/>
      </w:pPr>
      <w:r>
        <w:rPr>
          <w:rFonts w:ascii="Calibri" w:hAnsi="Calibri"/>
          <w:b/>
          <w:sz w:val="22"/>
        </w:rPr>
        <w:t>Risk:</w:t>
      </w:r>
      <w:r>
        <w:rPr>
          <w:rFonts w:ascii="Calibri" w:hAnsi="Calibri"/>
          <w:b w:val="0"/>
          <w:sz w:val="22"/>
        </w:rPr>
        <w:t xml:space="preserve"> Retrieval over a large corpus, document processing, and dense review screens may become slow as data grows.</w:t>
      </w:r>
    </w:p>
    <w:p>
      <w:pPr>
        <w:spacing w:after="160"/>
      </w:pPr>
      <w:r>
        <w:rPr>
          <w:rFonts w:ascii="Calibri" w:hAnsi="Calibri"/>
          <w:b/>
          <w:sz w:val="22"/>
        </w:rPr>
        <w:t>Mitigation:</w:t>
      </w:r>
      <w:r>
        <w:rPr>
          <w:rFonts w:ascii="Calibri" w:hAnsi="Calibri"/>
          <w:b w:val="0"/>
          <w:sz w:val="22"/>
        </w:rPr>
        <w:t xml:space="preserve"> Persistent precomputed indexes for retrieval; asynchronous background processing for OCR and extraction with visible progress states; database indexing and query review; caching of static corpus content; and performance testing on realistic matter sizes.</w:t>
      </w:r>
    </w:p>
    <w:p>
      <w:pPr>
        <w:pStyle w:val="Heading3"/>
      </w:pPr>
      <w:r>
        <w:rPr>
          <w:rFonts w:ascii="Calibri" w:hAnsi="Calibri"/>
          <w:b w:val="0"/>
          <w:sz w:val="22"/>
        </w:rPr>
        <w:t>User-adoption risk</w:t>
      </w:r>
    </w:p>
    <w:p>
      <w:pPr>
        <w:spacing w:after="160"/>
      </w:pPr>
      <w:r>
        <w:rPr>
          <w:rFonts w:ascii="Calibri" w:hAnsi="Calibri"/>
          <w:b/>
          <w:sz w:val="22"/>
        </w:rPr>
        <w:t>Risk:</w:t>
      </w:r>
      <w:r>
        <w:rPr>
          <w:rFonts w:ascii="Calibri" w:hAnsi="Calibri"/>
          <w:b w:val="0"/>
          <w:sz w:val="22"/>
        </w:rPr>
        <w:t xml:space="preserve"> Practitioners may distrust automated assistance or find a new workflow burdensome relative to established manual practice.</w:t>
      </w:r>
    </w:p>
    <w:p>
      <w:pPr>
        <w:spacing w:after="160"/>
      </w:pPr>
      <w:r>
        <w:rPr>
          <w:rFonts w:ascii="Calibri" w:hAnsi="Calibri"/>
          <w:b/>
          <w:sz w:val="22"/>
        </w:rPr>
        <w:t>Mitigation:</w:t>
      </w:r>
      <w:r>
        <w:rPr>
          <w:rFonts w:ascii="Calibri" w:hAnsi="Calibri"/>
          <w:b w:val="0"/>
          <w:sz w:val="22"/>
        </w:rPr>
        <w:t xml:space="preserve"> The system is designed around the profession's own workflow as described by the domain mentor; every automated output is traceable to evidence and subject to explicit lawyer approval; the interface accepts documents and reports what is missing rather than imposing checklists; usability evaluation is conducted with the mentor; and the bilingual interface removes a language barrier to adoption.</w:t>
      </w:r>
    </w:p>
    <w:p>
      <w:pPr>
        <w:pStyle w:val="Heading2"/>
      </w:pPr>
      <w:r>
        <w:rPr>
          <w:rFonts w:ascii="Calibri" w:hAnsi="Calibri"/>
          <w:b w:val="0"/>
          <w:sz w:val="22"/>
        </w:rPr>
        <w:t>2.5 Social and Legal Feasibility</w:t>
      </w:r>
    </w:p>
    <w:p>
      <w:pPr>
        <w:pStyle w:val="Heading3"/>
      </w:pPr>
      <w:r>
        <w:rPr>
          <w:rFonts w:ascii="Calibri" w:hAnsi="Calibri"/>
          <w:b w:val="0"/>
          <w:sz w:val="22"/>
        </w:rPr>
        <w:t>Social feasibility</w:t>
      </w:r>
    </w:p>
    <w:p>
      <w:pPr>
        <w:spacing w:after="160"/>
      </w:pPr>
      <w:r>
        <w:rPr>
          <w:rFonts w:ascii="Calibri" w:hAnsi="Calibri"/>
          <w:b w:val="0"/>
          <w:sz w:val="22"/>
        </w:rPr>
        <w:t>The system is socially beneficial and acceptable on the following grounds:</w:t>
      </w:r>
    </w:p>
    <w:p>
      <w:pPr>
        <w:pStyle w:val="ListBullet"/>
      </w:pPr>
      <w:r>
        <w:rPr>
          <w:rFonts w:ascii="Calibri" w:hAnsi="Calibri"/>
          <w:b/>
          <w:sz w:val="22"/>
        </w:rPr>
        <w:t>It assists rather than replaces professional judgment.</w:t>
      </w:r>
      <w:r>
        <w:rPr>
          <w:rFonts w:ascii="Calibri" w:hAnsi="Calibri"/>
          <w:b w:val="0"/>
          <w:sz w:val="22"/>
        </w:rPr>
        <w:t xml:space="preserve"> Every consequential action — verification, approval, waiver, export — is reserved to a qualified lawyer. The platform removes clerical burden, not professional responsibility, and therefore complements rather than threatens the profession's role.</w:t>
      </w:r>
    </w:p>
    <w:p>
      <w:pPr>
        <w:pStyle w:val="ListBullet"/>
      </w:pPr>
      <w:r>
        <w:rPr>
          <w:rFonts w:ascii="Calibri" w:hAnsi="Calibri"/>
          <w:b/>
          <w:sz w:val="22"/>
        </w:rPr>
        <w:t>Language inclusion.</w:t>
      </w:r>
      <w:r>
        <w:rPr>
          <w:rFonts w:ascii="Calibri" w:hAnsi="Calibri"/>
          <w:b w:val="0"/>
          <w:sz w:val="22"/>
        </w:rPr>
        <w:t xml:space="preserve"> A bilingual English and Sinhala interface, with correct rendering of Sinhala script and typography, serves the actual working languages of the profession and its clients.</w:t>
      </w:r>
    </w:p>
    <w:p>
      <w:pPr>
        <w:pStyle w:val="ListBullet"/>
      </w:pPr>
      <w:r>
        <w:rPr>
          <w:rFonts w:ascii="Calibri" w:hAnsi="Calibri"/>
          <w:b/>
          <w:sz w:val="22"/>
        </w:rPr>
        <w:t>Accessibility.</w:t>
      </w:r>
      <w:r>
        <w:rPr>
          <w:rFonts w:ascii="Calibri" w:hAnsi="Calibri"/>
          <w:b w:val="0"/>
          <w:sz w:val="22"/>
        </w:rPr>
        <w:t xml:space="preserve"> The interface targets recognised accessibility guidance [11]: full keyboard operability, sufficient colour contrast, status communicated by icon and label rather than colour alone, and screen-reader-compatible structure.</w:t>
      </w:r>
    </w:p>
    <w:p>
      <w:pPr>
        <w:pStyle w:val="ListBullet"/>
      </w:pPr>
      <w:r>
        <w:rPr>
          <w:rFonts w:ascii="Calibri" w:hAnsi="Calibri"/>
          <w:b/>
          <w:sz w:val="22"/>
        </w:rPr>
        <w:t>Transparency and fairness.</w:t>
      </w:r>
      <w:r>
        <w:rPr>
          <w:rFonts w:ascii="Calibri" w:hAnsi="Calibri"/>
          <w:b w:val="0"/>
          <w:sz w:val="22"/>
        </w:rPr>
        <w:t xml:space="preserve"> Every automated output displays its evidence and its verification status; uncertainty is shown honestly, including explicit refusal to answer without authority. Clients of a practice benefit from faster service and from work products with a documented verification trail.</w:t>
      </w:r>
    </w:p>
    <w:p>
      <w:pPr>
        <w:pStyle w:val="ListBullet"/>
      </w:pPr>
      <w:r>
        <w:rPr>
          <w:rFonts w:ascii="Calibri" w:hAnsi="Calibri"/>
          <w:b/>
          <w:sz w:val="22"/>
        </w:rPr>
        <w:t>Digital literacy.</w:t>
      </w:r>
      <w:r>
        <w:rPr>
          <w:rFonts w:ascii="Calibri" w:hAnsi="Calibri"/>
          <w:b w:val="0"/>
          <w:sz w:val="22"/>
        </w:rPr>
        <w:t xml:space="preserve"> The interface follows familiar document-and-review patterns, and guided steps explain each stage of the workflow, keeping the system usable for practitioners with modest technical backgrounds.</w:t>
      </w:r>
    </w:p>
    <w:p>
      <w:pPr>
        <w:pStyle w:val="Heading3"/>
      </w:pPr>
      <w:r>
        <w:rPr>
          <w:rFonts w:ascii="Calibri" w:hAnsi="Calibri"/>
          <w:b w:val="0"/>
          <w:sz w:val="22"/>
        </w:rPr>
        <w:t>Legal feasibility</w:t>
      </w:r>
    </w:p>
    <w:p>
      <w:pPr>
        <w:pStyle w:val="ListBullet"/>
      </w:pPr>
      <w:r>
        <w:rPr>
          <w:rFonts w:ascii="Calibri" w:hAnsi="Calibri"/>
          <w:b/>
          <w:sz w:val="22"/>
        </w:rPr>
        <w:t>Data protection.</w:t>
      </w:r>
      <w:r>
        <w:rPr>
          <w:rFonts w:ascii="Calibri" w:hAnsi="Calibri"/>
          <w:b w:val="0"/>
          <w:sz w:val="22"/>
        </w:rPr>
        <w:t xml:space="preserve"> The processing of personal data in matter documents is designed for compliance with the Personal Data Protection Act, No. 9 of 2022 [10]: data minimisation, purpose limitation, role-restricted access, security safeguards, and retention controls. Real client data is excluded from development artefacts entirely.</w:t>
      </w:r>
    </w:p>
    <w:p>
      <w:pPr>
        <w:pStyle w:val="ListBullet"/>
      </w:pPr>
      <w:r>
        <w:rPr>
          <w:rFonts w:ascii="Calibri" w:hAnsi="Calibri"/>
          <w:b/>
          <w:sz w:val="22"/>
        </w:rPr>
        <w:t>Confidentiality.</w:t>
      </w:r>
      <w:r>
        <w:rPr>
          <w:rFonts w:ascii="Calibri" w:hAnsi="Calibri"/>
          <w:b w:val="0"/>
          <w:sz w:val="22"/>
        </w:rPr>
        <w:t xml:space="preserve"> The design respects the confidentiality obligations of legal practice through access control, audit trails, and the preference for self-hosted processing of client documents.</w:t>
      </w:r>
    </w:p>
    <w:p>
      <w:pPr>
        <w:pStyle w:val="ListBullet"/>
      </w:pPr>
      <w:r>
        <w:rPr>
          <w:rFonts w:ascii="Calibri" w:hAnsi="Calibri"/>
          <w:b/>
          <w:sz w:val="22"/>
        </w:rPr>
        <w:t>Sources of law.</w:t>
      </w:r>
      <w:r>
        <w:rPr>
          <w:rFonts w:ascii="Calibri" w:hAnsi="Calibri"/>
          <w:b w:val="0"/>
          <w:sz w:val="22"/>
        </w:rPr>
        <w:t xml:space="preserve"> The statutory corpus is assembled from official and public sources; judgments are public records obtained from official and publicly accessible repositories. Editorial material from commercial law reports (such as headnotes) is subject to third-party copyright and is used only internally for research and never republished.</w:t>
      </w:r>
    </w:p>
    <w:p>
      <w:pPr>
        <w:pStyle w:val="ListBullet"/>
      </w:pPr>
      <w:r>
        <w:rPr>
          <w:rFonts w:ascii="Calibri" w:hAnsi="Calibri"/>
          <w:b/>
          <w:sz w:val="22"/>
        </w:rPr>
        <w:t>Prescribed forms and statutory wording.</w:t>
      </w:r>
      <w:r>
        <w:rPr>
          <w:rFonts w:ascii="Calibri" w:hAnsi="Calibri"/>
          <w:b w:val="0"/>
          <w:sz w:val="22"/>
        </w:rPr>
        <w:t xml:space="preserve"> Prescribed wording from the governing statute and gazetted forms [1] is reproduced exactly and locked against editing; the drafting of legal wording in templates remains a human responsibility, and generated drafts are instruments *prepared for* and approved by a qualified professional, so the system does not practise law or offer legal advice to the public.</w:t>
      </w:r>
    </w:p>
    <w:p>
      <w:pPr>
        <w:pStyle w:val="ListBullet"/>
      </w:pPr>
      <w:r>
        <w:rPr>
          <w:rFonts w:ascii="Calibri" w:hAnsi="Calibri"/>
          <w:b/>
          <w:sz w:val="22"/>
        </w:rPr>
        <w:t>Licensing.</w:t>
      </w:r>
      <w:r>
        <w:rPr>
          <w:rFonts w:ascii="Calibri" w:hAnsi="Calibri"/>
          <w:b w:val="0"/>
          <w:sz w:val="22"/>
        </w:rPr>
        <w:t xml:space="preserve"> All selected frameworks, libraries, and fonts carry permissive open-source licences compatible with the project's use.</w:t>
      </w:r>
    </w:p>
    <w:p>
      <w:pPr>
        <w:pStyle w:val="ListBullet"/>
      </w:pPr>
      <w:r>
        <w:rPr>
          <w:rFonts w:ascii="Calibri" w:hAnsi="Calibri"/>
          <w:b/>
          <w:sz w:val="22"/>
        </w:rPr>
        <w:t>Electronic documents.</w:t>
      </w:r>
      <w:r>
        <w:rPr>
          <w:rFonts w:ascii="Calibri" w:hAnsi="Calibri"/>
          <w:b w:val="0"/>
          <w:sz w:val="22"/>
        </w:rPr>
        <w:t xml:space="preserve"> Exported instruments follow existing practice (printed, executed, and attested conventionally), so the system does not depend on the electronic-execution questions surrounding instruments excluded from the Electronic Transactions Act, No. 19 of 2006 [12]; the platform's electronic records serve internal workflow and audit purposes.</w:t>
      </w:r>
    </w:p>
    <w:p>
      <w:pPr>
        <w:pStyle w:val="ListBullet"/>
      </w:pPr>
      <w:r>
        <w:rPr>
          <w:rFonts w:ascii="Calibri" w:hAnsi="Calibri"/>
          <w:b/>
          <w:sz w:val="22"/>
        </w:rPr>
        <w:t>Liability for accuracy.</w:t>
      </w:r>
      <w:r>
        <w:rPr>
          <w:rFonts w:ascii="Calibri" w:hAnsi="Calibri"/>
          <w:b w:val="0"/>
          <w:sz w:val="22"/>
        </w:rPr>
        <w:t xml:space="preserve"> The verification architecture — evidence-side review, explicit verification states, deterministic checks, citation gates, abstention, and lawyer approval before export — is itself the mitigation of liability risk arising from inaccurate automated output.</w:t>
      </w:r>
    </w:p>
    <w:p>
      <w:pPr>
        <w:spacing w:after="160"/>
      </w:pPr>
      <w:r>
        <w:rPr>
          <w:rFonts w:ascii="Calibri" w:hAnsi="Calibri"/>
          <w:b w:val="0"/>
          <w:sz w:val="22"/>
        </w:rPr>
        <w:t>The system can therefore be developed and operated in a socially responsible and legally compliant manner.</w:t>
      </w:r>
    </w:p>
    <w:p>
      <w:r>
        <w:br w:type="page"/>
      </w:r>
    </w:p>
    <w:p>
      <w:pPr>
        <w:pStyle w:val="Heading1"/>
      </w:pPr>
      <w:r>
        <w:rPr>
          <w:rFonts w:ascii="Calibri" w:hAnsi="Calibri"/>
          <w:b w:val="0"/>
          <w:sz w:val="22"/>
        </w:rPr>
        <w:t>3. Considerations</w:t>
      </w:r>
    </w:p>
    <w:p>
      <w:pPr>
        <w:pStyle w:val="Heading2"/>
      </w:pPr>
      <w:r>
        <w:rPr>
          <w:rFonts w:ascii="Calibri" w:hAnsi="Calibri"/>
          <w:b w:val="0"/>
          <w:sz w:val="22"/>
        </w:rPr>
        <w:t>3.1 Performance</w:t>
      </w:r>
    </w:p>
    <w:p>
      <w:pPr>
        <w:spacing w:after="160"/>
      </w:pPr>
      <w:r>
        <w:rPr>
          <w:rFonts w:ascii="Calibri" w:hAnsi="Calibri"/>
          <w:b w:val="0"/>
          <w:sz w:val="22"/>
        </w:rPr>
        <w:t>The system should respond within interactive limits on the matter workspace, process document bundles asynchronously with visible progress states, and serve retrieval queries from persistent precomputed indexes. Database queries over matters, facts, and audit records are indexed; corpus content is static and cacheable. The initial deployment targets a small number of concurrent users per practice, with an architecture (stateless services, relational storage, separable engine) that scales conventionally as usage grows.</w:t>
      </w:r>
    </w:p>
    <w:p>
      <w:pPr>
        <w:pStyle w:val="Heading2"/>
      </w:pPr>
      <w:r>
        <w:rPr>
          <w:rFonts w:ascii="Calibri" w:hAnsi="Calibri"/>
          <w:b w:val="0"/>
          <w:sz w:val="22"/>
        </w:rPr>
        <w:t>3.2 Security</w:t>
      </w:r>
    </w:p>
    <w:p>
      <w:pPr>
        <w:spacing w:after="160"/>
      </w:pPr>
      <w:r>
        <w:rPr>
          <w:rFonts w:ascii="Calibri" w:hAnsi="Calibri"/>
          <w:b w:val="0"/>
          <w:sz w:val="22"/>
        </w:rPr>
        <w:t>Security requirements include authenticated access, role-based authorisation for every function, encrypted transport, protected document storage, input validation, session management, audit logging of all consequential actions, secure backups, and protection against common web vulnerabilities. Actions with legal significance are attributable to identified users.</w:t>
      </w:r>
    </w:p>
    <w:p>
      <w:pPr>
        <w:pStyle w:val="Heading2"/>
      </w:pPr>
      <w:r>
        <w:rPr>
          <w:rFonts w:ascii="Calibri" w:hAnsi="Calibri"/>
          <w:b w:val="0"/>
          <w:sz w:val="22"/>
        </w:rPr>
        <w:t>3.3 Privacy</w:t>
      </w:r>
    </w:p>
    <w:p>
      <w:pPr>
        <w:spacing w:after="160"/>
      </w:pPr>
      <w:r>
        <w:rPr>
          <w:rFonts w:ascii="Calibri" w:hAnsi="Calibri"/>
          <w:b w:val="0"/>
          <w:sz w:val="22"/>
        </w:rPr>
        <w:t>The system collects only the data required for the matter at hand, restricts access by role, records processing purposes, supports retention and deletion policies, and keeps real client material out of development, demonstration, and evaluation artefacts. These practices are aligned with the Personal Data Protection Act, No. 9 of 2022 [10].</w:t>
      </w:r>
    </w:p>
    <w:p>
      <w:pPr>
        <w:pStyle w:val="Heading2"/>
      </w:pPr>
      <w:r>
        <w:rPr>
          <w:rFonts w:ascii="Calibri" w:hAnsi="Calibri"/>
          <w:b w:val="0"/>
          <w:sz w:val="22"/>
        </w:rPr>
        <w:t>3.4 Usability</w:t>
      </w:r>
    </w:p>
    <w:p>
      <w:pPr>
        <w:spacing w:after="160"/>
      </w:pPr>
      <w:r>
        <w:rPr>
          <w:rFonts w:ascii="Calibri" w:hAnsi="Calibri"/>
          <w:b w:val="0"/>
          <w:sz w:val="22"/>
        </w:rPr>
        <w:t>The interface is a calm, dense professional workspace: consistent navigation around a persistent matter context, review tables that place every extracted value beside its evidence, meaningful processing and verification states with plain-language labels, guidance that reports what is missing rather than demanding checklists, and clear confirmation of every consequential action.</w:t>
      </w:r>
    </w:p>
    <w:p>
      <w:pPr>
        <w:pStyle w:val="Heading2"/>
      </w:pPr>
      <w:r>
        <w:rPr>
          <w:rFonts w:ascii="Calibri" w:hAnsi="Calibri"/>
          <w:b w:val="0"/>
          <w:sz w:val="22"/>
        </w:rPr>
        <w:t>3.5 Accessibility</w:t>
      </w:r>
    </w:p>
    <w:p>
      <w:pPr>
        <w:spacing w:after="160"/>
      </w:pPr>
      <w:r>
        <w:rPr>
          <w:rFonts w:ascii="Calibri" w:hAnsi="Calibri"/>
          <w:b w:val="0"/>
          <w:sz w:val="22"/>
        </w:rPr>
        <w:t>The interface targets recognised accessibility guidance [11]: complete keyboard operability of the core path, visible focus indication, sufficient colour contrast verified against the design tokens, status never encoded by colour alone, text alternatives and accessible labels, correct behaviour at enlarged text sizes (including Sinhala script), and respect for reduced-motion preferences.</w:t>
      </w:r>
    </w:p>
    <w:p>
      <w:pPr>
        <w:pStyle w:val="Heading2"/>
      </w:pPr>
      <w:r>
        <w:rPr>
          <w:rFonts w:ascii="Calibri" w:hAnsi="Calibri"/>
          <w:b w:val="0"/>
          <w:sz w:val="22"/>
        </w:rPr>
        <w:t>3.6 Reliability</w:t>
      </w:r>
    </w:p>
    <w:p>
      <w:pPr>
        <w:spacing w:after="160"/>
      </w:pPr>
      <w:r>
        <w:rPr>
          <w:rFonts w:ascii="Calibri" w:hAnsi="Calibri"/>
          <w:b w:val="0"/>
          <w:sz w:val="22"/>
        </w:rPr>
        <w:t>Document processing is resumable and reports failure states explicitly with recovery paths (retry, replace, manual entry). Drafts are versioned with restore; the audit log preserves a consistent history; backups protect matter data; and the demonstration path operates without live external dependencies.</w:t>
      </w:r>
    </w:p>
    <w:p>
      <w:pPr>
        <w:pStyle w:val="Heading2"/>
      </w:pPr>
      <w:r>
        <w:rPr>
          <w:rFonts w:ascii="Calibri" w:hAnsi="Calibri"/>
          <w:b w:val="0"/>
          <w:sz w:val="22"/>
        </w:rPr>
        <w:t>3.7 Maintainability</w:t>
      </w:r>
    </w:p>
    <w:p>
      <w:pPr>
        <w:spacing w:after="160"/>
      </w:pPr>
      <w:r>
        <w:rPr>
          <w:rFonts w:ascii="Calibri" w:hAnsi="Calibri"/>
          <w:b w:val="0"/>
          <w:sz w:val="22"/>
        </w:rPr>
        <w:t>The codebase is modular — interface, service layer, pipeline, and engine are separated by typed contracts — under version control with continuous integration, automated checks (type checking, linting, interface smoke tests), code review, and documented conventions. Templates, rules, and the statutory corpus are versioned data, maintainable without code changes.</w:t>
      </w:r>
    </w:p>
    <w:p>
      <w:pPr>
        <w:pStyle w:val="Heading2"/>
      </w:pPr>
      <w:r>
        <w:rPr>
          <w:rFonts w:ascii="Calibri" w:hAnsi="Calibri"/>
          <w:b w:val="0"/>
          <w:sz w:val="22"/>
        </w:rPr>
        <w:t>3.8 Scalability</w:t>
      </w:r>
    </w:p>
    <w:p>
      <w:pPr>
        <w:spacing w:after="160"/>
      </w:pPr>
      <w:r>
        <w:rPr>
          <w:rFonts w:ascii="Calibri" w:hAnsi="Calibri"/>
          <w:b w:val="0"/>
          <w:sz w:val="22"/>
        </w:rPr>
        <w:t>Growth in matters, documents, and corpus size is accommodated through indexed relational storage, precomputed retrieval indexes, asynchronous processing queues, cacheable static content, and horizontally scalable stateless services. New regimes, forms, and eventually the litigation track extend existing structures rather than requiring redesign.</w:t>
      </w:r>
    </w:p>
    <w:p>
      <w:pPr>
        <w:pStyle w:val="Heading2"/>
      </w:pPr>
      <w:r>
        <w:rPr>
          <w:rFonts w:ascii="Calibri" w:hAnsi="Calibri"/>
          <w:b w:val="0"/>
          <w:sz w:val="22"/>
        </w:rPr>
        <w:t>3.9 Accuracy</w:t>
      </w:r>
    </w:p>
    <w:p>
      <w:pPr>
        <w:spacing w:after="160"/>
      </w:pPr>
      <w:r>
        <w:rPr>
          <w:rFonts w:ascii="Calibri" w:hAnsi="Calibri"/>
          <w:b w:val="0"/>
          <w:sz w:val="22"/>
        </w:rPr>
        <w:t>Accuracy is treated as a measured property, not an assumption: extraction, checks, retrieval, and drafting are evaluated against a lawyer-verified evaluation set; extraction confidence is displayed but never treated as approval; every generated claim must cite resolvable authority and is checked against its evidence; the system abstains when authority is insufficient; and all machine-generated links and rules remain unverified until human review. Manual correction is available at every stage.</w:t>
      </w:r>
    </w:p>
    <w:p>
      <w:pPr>
        <w:pStyle w:val="Heading2"/>
      </w:pPr>
      <w:r>
        <w:rPr>
          <w:rFonts w:ascii="Calibri" w:hAnsi="Calibri"/>
          <w:b w:val="0"/>
          <w:sz w:val="22"/>
        </w:rPr>
        <w:t>3.10 Ease of Use</w:t>
      </w:r>
    </w:p>
    <w:p>
      <w:pPr>
        <w:spacing w:after="160"/>
      </w:pPr>
      <w:r>
        <w:rPr>
          <w:rFonts w:ascii="Calibri" w:hAnsi="Calibri"/>
          <w:b w:val="0"/>
          <w:sz w:val="22"/>
        </w:rPr>
        <w:t>Common tasks are minimised in effort: uploads are batch-processed with automatic classification; the system tells the user what is missing; verification supports single-fact, section, and reviewed-batch actions; search and command access is available from the keyboard; defaults follow the guided workflow; and export of an approved draft is a single gated action.</w:t>
      </w:r>
    </w:p>
    <w:p>
      <w:r>
        <w:br w:type="page"/>
      </w:r>
    </w:p>
    <w:p>
      <w:pPr>
        <w:pStyle w:val="Heading1"/>
      </w:pPr>
      <w:r>
        <w:rPr>
          <w:rFonts w:ascii="Calibri" w:hAnsi="Calibri"/>
          <w:b w:val="0"/>
          <w:sz w:val="22"/>
        </w:rPr>
        <w:t>4. References</w:t>
      </w:r>
    </w:p>
    <w:p>
      <w:pPr>
        <w:spacing w:after="160"/>
        <w:ind w:left="425" w:hanging="425"/>
      </w:pPr>
      <w:r>
        <w:rPr>
          <w:rFonts w:ascii="Calibri" w:hAnsi="Calibri"/>
          <w:b w:val="0"/>
          <w:sz w:val="22"/>
        </w:rPr>
        <w:t>[1]  Parliament of the Democratic Socialist Republic of Sri Lanka, Registration of Title Act, No. 21 of 1998. Colombo, Sri Lanka: Government Publications Bureau, 1998.</w:t>
      </w:r>
    </w:p>
    <w:p>
      <w:pPr>
        <w:spacing w:after="160"/>
        <w:ind w:left="425" w:hanging="425"/>
      </w:pPr>
      <w:r>
        <w:rPr>
          <w:rFonts w:ascii="Calibri" w:hAnsi="Calibri"/>
          <w:b w:val="0"/>
          <w:sz w:val="22"/>
        </w:rPr>
        <w:t>[2]  LawLanka (Pvt) Ltd, "LawLanka — Sri Lanka's premier legal information portal." [Online]. Available: https://www.lawlanka.com. [Accessed: Jul. 23, 2026].</w:t>
      </w:r>
    </w:p>
    <w:p>
      <w:pPr>
        <w:spacing w:after="160"/>
        <w:ind w:left="425" w:hanging="425"/>
      </w:pPr>
      <w:r>
        <w:rPr>
          <w:rFonts w:ascii="Calibri" w:hAnsi="Calibri"/>
          <w:b w:val="0"/>
          <w:sz w:val="22"/>
        </w:rPr>
        <w:t>[3]  Harvey AI, "Harvey — Professional class AI for legal teams." [Online]. Available: https://www.harvey.ai. [Accessed: Jul. 23, 2026].</w:t>
      </w:r>
    </w:p>
    <w:p>
      <w:pPr>
        <w:spacing w:after="160"/>
        <w:ind w:left="425" w:hanging="425"/>
      </w:pPr>
      <w:r>
        <w:rPr>
          <w:rFonts w:ascii="Calibri" w:hAnsi="Calibri"/>
          <w:b w:val="0"/>
          <w:sz w:val="22"/>
        </w:rPr>
        <w:t>[4]  Vercel Inc., "Next.js: Official documentation." [Online]. Available: https://nextjs.org/docs. [Accessed: Jul. 23, 2026].</w:t>
      </w:r>
    </w:p>
    <w:p>
      <w:pPr>
        <w:spacing w:after="160"/>
        <w:ind w:left="425" w:hanging="425"/>
      </w:pPr>
      <w:r>
        <w:rPr>
          <w:rFonts w:ascii="Calibri" w:hAnsi="Calibri"/>
          <w:b w:val="0"/>
          <w:sz w:val="22"/>
        </w:rPr>
        <w:t>[5]  Tiptap GmbH, "Tiptap: Headless editor framework — Official documentation." [Online]. Available: https://tiptap.dev/docs. [Accessed: Jul. 23, 2026].</w:t>
      </w:r>
    </w:p>
    <w:p>
      <w:pPr>
        <w:spacing w:after="160"/>
        <w:ind w:left="425" w:hanging="425"/>
      </w:pPr>
      <w:r>
        <w:rPr>
          <w:rFonts w:ascii="Calibri" w:hAnsi="Calibri"/>
          <w:b w:val="0"/>
          <w:sz w:val="22"/>
        </w:rPr>
        <w:t>[6]  S. Ramírez, "FastAPI: Official documentation." [Online]. Available: https://fastapi.tiangolo.com. [Accessed: Jul. 23, 2026].</w:t>
      </w:r>
    </w:p>
    <w:p>
      <w:pPr>
        <w:spacing w:after="160"/>
        <w:ind w:left="425" w:hanging="425"/>
      </w:pPr>
      <w:r>
        <w:rPr>
          <w:rFonts w:ascii="Calibri" w:hAnsi="Calibri"/>
          <w:b w:val="0"/>
          <w:sz w:val="22"/>
        </w:rPr>
        <w:t>[7]  The PostgreSQL Global Development Group, "PostgreSQL: Official documentation." [Online]. Available: https://www.postgresql.org/docs. [Accessed: Jul. 23, 2026].</w:t>
      </w:r>
    </w:p>
    <w:p>
      <w:pPr>
        <w:spacing w:after="160"/>
        <w:ind w:left="425" w:hanging="425"/>
      </w:pPr>
      <w:r>
        <w:rPr>
          <w:rFonts w:ascii="Calibri" w:hAnsi="Calibri"/>
          <w:b w:val="0"/>
          <w:sz w:val="22"/>
        </w:rPr>
        <w:t>[8]  S. Robertson and H. Zaragoza, "The probabilistic relevance framework: BM25 and beyond," Foundations and Trends in Information Retrieval, vol. 3, no. 4, pp. 333–389, 2009.</w:t>
      </w:r>
    </w:p>
    <w:p>
      <w:pPr>
        <w:spacing w:after="160"/>
        <w:ind w:left="425" w:hanging="425"/>
      </w:pPr>
      <w:r>
        <w:rPr>
          <w:rFonts w:ascii="Calibri" w:hAnsi="Calibri"/>
          <w:b w:val="0"/>
          <w:sz w:val="22"/>
        </w:rPr>
        <w:t>[9]  P. Lewis et al., "Retrieval-augmented generation for knowledge- intensive NLP tasks," in Advances in Neural Information Processing Systems (NeurIPS), Vancouver, Canada, 2020, pp. 9459–9474.</w:t>
      </w:r>
    </w:p>
    <w:p>
      <w:pPr>
        <w:spacing w:after="160"/>
        <w:ind w:left="425" w:hanging="425"/>
      </w:pPr>
      <w:r>
        <w:rPr>
          <w:rFonts w:ascii="Calibri" w:hAnsi="Calibri"/>
          <w:b w:val="0"/>
          <w:sz w:val="22"/>
        </w:rPr>
        <w:t>[10] Parliament of the Democratic Socialist Republic of Sri Lanka, Personal Data Protection Act, No. 9 of 2022. Colombo, Sri Lanka: Government Publications Bureau, 2022.</w:t>
      </w:r>
    </w:p>
    <w:p>
      <w:pPr>
        <w:spacing w:after="160"/>
        <w:ind w:left="425" w:hanging="425"/>
      </w:pPr>
      <w:r>
        <w:rPr>
          <w:rFonts w:ascii="Calibri" w:hAnsi="Calibri"/>
          <w:b w:val="0"/>
          <w:sz w:val="22"/>
        </w:rPr>
        <w:t>[11] World Wide Web Consortium (W3C), "Web Content Accessibility Guidelines (WCAG) 2.1," W3C Recommendation, Jun. 2018. [Online]. Available: https://www.w3.org/TR/WCAG21/. [Accessed: Jul. 23, 2026].</w:t>
      </w:r>
    </w:p>
    <w:p>
      <w:pPr>
        <w:spacing w:after="160"/>
        <w:ind w:left="425" w:hanging="425"/>
      </w:pPr>
      <w:r>
        <w:rPr>
          <w:rFonts w:ascii="Calibri" w:hAnsi="Calibri"/>
          <w:b w:val="0"/>
          <w:sz w:val="22"/>
        </w:rPr>
        <w:t>[12] Parliament of the Democratic Socialist Republic of Sri Lanka, Electronic Transactions Act, No. 19 of 2006. Colombo, Sri Lanka: Government Publications Bureau,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