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2AA" w:rsidRPr="000412AA" w:rsidRDefault="000412AA" w:rsidP="000412AA">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0412AA">
        <w:rPr>
          <w:rFonts w:ascii="David" w:eastAsiaTheme="minorHAnsi" w:hAnsiTheme="minorHAnsi" w:cs="David" w:hint="cs"/>
          <w:b/>
          <w:bCs/>
          <w:color w:val="000000"/>
          <w:sz w:val="36"/>
          <w:szCs w:val="36"/>
          <w:rtl/>
        </w:rPr>
        <w:t>משרד הפנים</w:t>
      </w:r>
    </w:p>
    <w:p w:rsidR="000412AA" w:rsidRPr="000412AA" w:rsidRDefault="000412AA" w:rsidP="000412AA">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0412AA">
        <w:rPr>
          <w:rFonts w:ascii="David" w:eastAsiaTheme="minorHAnsi" w:hAnsiTheme="minorHAnsi" w:cs="David" w:hint="cs"/>
          <w:b/>
          <w:bCs/>
          <w:color w:val="000000"/>
          <w:sz w:val="32"/>
          <w:szCs w:val="32"/>
          <w:rtl/>
        </w:rPr>
        <w:t>ההיערכות לבחירות לכנסת השמונה עשרה וניהולן</w:t>
      </w:r>
    </w:p>
    <w:p w:rsidR="000412AA" w:rsidRPr="000412AA" w:rsidRDefault="000412AA" w:rsidP="000412AA">
      <w:pPr>
        <w:suppressAutoHyphens/>
        <w:autoSpaceDE w:val="0"/>
        <w:autoSpaceDN w:val="0"/>
        <w:adjustRightInd w:val="0"/>
        <w:spacing w:line="288" w:lineRule="auto"/>
        <w:jc w:val="both"/>
        <w:textAlignment w:val="center"/>
        <w:rPr>
          <w:rFonts w:ascii="David" w:eastAsiaTheme="minorHAnsi" w:cs="David"/>
          <w:b/>
          <w:bCs/>
          <w:color w:val="000000"/>
          <w:rtl/>
        </w:rPr>
      </w:pPr>
      <w:r w:rsidRPr="000412AA">
        <w:rPr>
          <w:rFonts w:ascii="David" w:eastAsiaTheme="minorHAnsi" w:cs="David" w:hint="cs"/>
          <w:b/>
          <w:bCs/>
          <w:color w:val="000000"/>
          <w:rtl/>
        </w:rPr>
        <w:t xml:space="preserve">הגופים המבוקרים: ועדת הבחירות המרכזית </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szCs w:val="26"/>
          <w:rtl/>
        </w:rPr>
      </w:pP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r w:rsidRPr="000412AA">
        <w:rPr>
          <w:rFonts w:ascii="David" w:eastAsiaTheme="minorHAnsi" w:cs="David" w:hint="cs"/>
          <w:b/>
          <w:bCs/>
          <w:color w:val="000000"/>
          <w:rtl/>
        </w:rPr>
        <w:t>ליקוי</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hint="cs"/>
          <w:color w:val="000000"/>
          <w:rtl/>
        </w:rPr>
        <w:t>1.</w:t>
      </w:r>
      <w:r w:rsidRPr="000412AA">
        <w:rPr>
          <w:rFonts w:ascii="David" w:eastAsiaTheme="minorHAnsi" w:cs="David"/>
          <w:color w:val="000000"/>
          <w:rtl/>
        </w:rPr>
        <w:tab/>
      </w:r>
      <w:r w:rsidRPr="000412AA">
        <w:rPr>
          <w:rFonts w:ascii="David" w:eastAsiaTheme="minorHAnsi" w:cs="David" w:hint="cs"/>
          <w:color w:val="000000"/>
          <w:rtl/>
        </w:rPr>
        <w:t xml:space="preserve">בדוח הביקורת הקודם נמצא שלא הוכן תקן למשרות העובדים במטות המינהליים, והודגש הצורך בהכנתו. בעקבות זאת קבעה הוועדה המרכזית תקן לעובדים, אולם בצד רשימת המשרות לא נקבעו דרישות המשרה, לרבות השכלה וניסיון. לפיכך, אין לדעת כיצד נבדקה התאמת העובדים לתפקיד. </w:t>
      </w: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color w:val="000000"/>
          <w:rtl/>
        </w:rPr>
        <w:tab/>
      </w:r>
      <w:r w:rsidRPr="000412AA">
        <w:rPr>
          <w:rFonts w:ascii="David" w:eastAsiaTheme="minorHAnsi" w:cs="David" w:hint="cs"/>
          <w:color w:val="000000"/>
          <w:rtl/>
        </w:rPr>
        <w:t xml:space="preserve">בתקן לא נקבע באילו משרות יועסקו עובדים בתקן, ובאילו משרות עובדים לפי שעות. בפועל, מילאו תפקידים דומים עובדים בתקן ועובדים לפי שעות. משמע בתפקידים דומים הועסקו עובדים בתנאי העסקה שונים. הדבר עלול לאפשר העסקת עובדים אגב העדפת עובד אחד על פני האחר, וכן להגדיל את ההוצאות על העסקת העובדים, מפני ששכרם של העובדים בתקן גבוה יותר. </w:t>
      </w:r>
    </w:p>
    <w:p w:rsidR="000412AA" w:rsidRPr="000412AA" w:rsidRDefault="000412AA" w:rsidP="000412AA">
      <w:pPr>
        <w:suppressAutoHyphens/>
        <w:autoSpaceDE w:val="0"/>
        <w:autoSpaceDN w:val="0"/>
        <w:adjustRightInd w:val="0"/>
        <w:spacing w:line="288" w:lineRule="auto"/>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r w:rsidRPr="000412AA">
        <w:rPr>
          <w:rFonts w:ascii="David" w:eastAsiaTheme="minorHAnsi" w:cs="David" w:hint="cs"/>
          <w:b/>
          <w:bCs/>
          <w:color w:val="000000"/>
          <w:rtl/>
        </w:rPr>
        <w:t>ליקוי</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hint="cs"/>
          <w:color w:val="000000"/>
          <w:rtl/>
        </w:rPr>
        <w:t>2.</w:t>
      </w:r>
      <w:r w:rsidRPr="000412AA">
        <w:rPr>
          <w:rFonts w:ascii="David" w:eastAsiaTheme="minorHAnsi" w:cs="David"/>
          <w:color w:val="000000"/>
          <w:rtl/>
        </w:rPr>
        <w:tab/>
      </w:r>
      <w:r w:rsidRPr="000412AA">
        <w:rPr>
          <w:rFonts w:ascii="David" w:eastAsiaTheme="minorHAnsi" w:cs="David" w:hint="cs"/>
          <w:color w:val="000000"/>
          <w:rtl/>
        </w:rPr>
        <w:t xml:space="preserve">העסקת עובדים לפי שעות: לקראת הבחירות לכנסת השמונה עשרה קבעה הוועדה המרכזית מפתח הקצאת שעות לכל קלפי, ולפיו היה עליה להקצות לכל ועדה אזורית שעות העסקה לעובדים לפי שעות. אולם, הביקורת העלתה כי הוועדה המרכזית אישרה ל-8 מ-18 הוועדות האזוריות מספר שעות החורג מן ההקצאה המרבית שלה היו זכאיות, בשיעורים של 38%–108%. כמו כן, ניצלו כמה ועדות אזוריות מספר שעות הגדול במידה ניכרת ממספר השעות שהוקצו להן.   </w:t>
      </w:r>
    </w:p>
    <w:p w:rsidR="000412AA" w:rsidRPr="000412AA" w:rsidRDefault="000412AA" w:rsidP="000412AA">
      <w:pPr>
        <w:suppressAutoHyphens/>
        <w:autoSpaceDE w:val="0"/>
        <w:autoSpaceDN w:val="0"/>
        <w:adjustRightInd w:val="0"/>
        <w:spacing w:line="288" w:lineRule="auto"/>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r w:rsidRPr="000412AA">
        <w:rPr>
          <w:rFonts w:ascii="David" w:eastAsiaTheme="minorHAnsi" w:cs="David" w:hint="cs"/>
          <w:b/>
          <w:bCs/>
          <w:color w:val="000000"/>
          <w:rtl/>
        </w:rPr>
        <w:t>ליקוי</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hint="cs"/>
          <w:color w:val="000000"/>
          <w:rtl/>
        </w:rPr>
        <w:t xml:space="preserve">3. </w:t>
      </w:r>
      <w:r w:rsidRPr="000412AA">
        <w:rPr>
          <w:rFonts w:ascii="David" w:eastAsiaTheme="minorHAnsi" w:cs="David"/>
          <w:color w:val="000000"/>
          <w:rtl/>
        </w:rPr>
        <w:tab/>
      </w:r>
      <w:r w:rsidRPr="000412AA">
        <w:rPr>
          <w:rFonts w:ascii="David" w:eastAsiaTheme="minorHAnsi" w:cs="David" w:hint="cs"/>
          <w:color w:val="000000"/>
          <w:rtl/>
        </w:rPr>
        <w:t>גיוס עובדים למטות המינהליים: בדוח הביקורת הקודם העיר משרד מבקר המדינה שגיוס העובדים למטות המינהליים התבסס על היכרות אישית ולא על הליך שוויוני של פנייה לכלל עובדי שירות המדינה, כדי שיגישו את מועמדותם. בביקורת הנוכחית עלה, שבפועל לא שונו סדרי גיוס העובדים למטות המינהליים. בכך נפגעו עקרונות שוויון ההזדמנויות וההגינות, ולא התאפשרה בחירת העובד המתאים ביותר.</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r w:rsidRPr="000412AA">
        <w:rPr>
          <w:rFonts w:ascii="David" w:eastAsiaTheme="minorHAnsi" w:cs="David" w:hint="cs"/>
          <w:b/>
          <w:bCs/>
          <w:color w:val="000000"/>
          <w:rtl/>
        </w:rPr>
        <w:t>ליקוי</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hint="cs"/>
          <w:color w:val="000000"/>
          <w:rtl/>
        </w:rPr>
        <w:t xml:space="preserve">4. </w:t>
      </w:r>
      <w:r w:rsidRPr="000412AA">
        <w:rPr>
          <w:rFonts w:ascii="David" w:eastAsiaTheme="minorHAnsi" w:cs="David"/>
          <w:color w:val="000000"/>
          <w:rtl/>
        </w:rPr>
        <w:tab/>
      </w:r>
      <w:r w:rsidRPr="000412AA">
        <w:rPr>
          <w:rFonts w:ascii="David" w:eastAsiaTheme="minorHAnsi" w:cs="David" w:hint="cs"/>
          <w:color w:val="000000"/>
          <w:rtl/>
        </w:rPr>
        <w:t>קרבת משפחה: בדוח הביקורת הקודם עלה כי לשיעור גבוה (כ-47%) מקרב העובדים במטות המינהליים היה קרוב משפחה אחד לפחות שהועסק באותה ועדה, מקרב כלל העובדים, ובכלל זה מקרב עובדי יום הבחירות. ואכן בעקבות דוח הביקורת הקודם, קבעה הוועדה המרכזית כללים חדשים להעסקת קרובי משפחה, האוסרים אמנם העסקת קרובי משפחה של עובדים במטות המינהליים גם בוועדה אזורית אחרת, אך טרם קבעה סייגים להעסקת קרובי משפחה של עובדי המטות המינהליים ביום הבחירות. העובדים במטות המינהליים הם המגייסים את עובדי יום הבחירות, ובכוחם לאפשר לקבוצה מועדפת ומצומצמת של אנשים לעבוד ולהשתכר בתקופת הבחירות. בביקורת הנוכחית עלה כי ל-301 (כ-36%) מ-839 העובדים במטות המינהליים, היה קרוב משפחה אחד לפחות שהועסק באותה ועדה בתור עובד ביום הבחירות. לאחדים מהם היו קרובי משפחה רבים שהועסקו ביום הבחירות באותה ועדה.</w:t>
      </w:r>
    </w:p>
    <w:p w:rsidR="000412AA" w:rsidRPr="000412AA" w:rsidRDefault="000412AA" w:rsidP="000412AA">
      <w:pPr>
        <w:suppressAutoHyphens/>
        <w:autoSpaceDE w:val="0"/>
        <w:autoSpaceDN w:val="0"/>
        <w:adjustRightInd w:val="0"/>
        <w:spacing w:line="288" w:lineRule="auto"/>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r w:rsidRPr="000412AA">
        <w:rPr>
          <w:rFonts w:ascii="David" w:eastAsiaTheme="minorHAnsi" w:cs="David" w:hint="cs"/>
          <w:b/>
          <w:bCs/>
          <w:color w:val="000000"/>
          <w:rtl/>
        </w:rPr>
        <w:lastRenderedPageBreak/>
        <w:t>ליקוי</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hint="cs"/>
          <w:color w:val="000000"/>
          <w:rtl/>
        </w:rPr>
        <w:t xml:space="preserve">5. </w:t>
      </w:r>
      <w:r w:rsidRPr="000412AA">
        <w:rPr>
          <w:rFonts w:ascii="David" w:eastAsiaTheme="minorHAnsi" w:cs="David"/>
          <w:color w:val="000000"/>
          <w:rtl/>
        </w:rPr>
        <w:tab/>
      </w:r>
      <w:r w:rsidRPr="000412AA">
        <w:rPr>
          <w:rFonts w:ascii="David" w:eastAsiaTheme="minorHAnsi" w:cs="David" w:hint="cs"/>
          <w:color w:val="000000"/>
          <w:rtl/>
        </w:rPr>
        <w:t>גיוס מזכירי ועדות קלפי: בדוח הביקורת הקודם צוין כי הוועדות האזוריות לא קיימו הליך שוויוני ופומבי של גיוס מזכירים, המבוסס על פרסום מודעות בעיתונים, שיאפשר את בחירת המועמד המתאים ביותר. בעניין זה חל שיפור ניכר, והביקורת הנוכחית העלתה כי יושמו שינויים בדרך הגיוס. עקב כך נבחרו 14,310 מזכירים לאחר פנייה לכלל הציבור, ולאחר ביצוע הליך מיון.</w:t>
      </w:r>
    </w:p>
    <w:p w:rsidR="000412AA" w:rsidRPr="000412AA" w:rsidRDefault="000412AA" w:rsidP="000412AA">
      <w:pPr>
        <w:suppressAutoHyphens/>
        <w:autoSpaceDE w:val="0"/>
        <w:autoSpaceDN w:val="0"/>
        <w:adjustRightInd w:val="0"/>
        <w:spacing w:line="288" w:lineRule="auto"/>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jc w:val="both"/>
        <w:textAlignment w:val="center"/>
        <w:rPr>
          <w:rFonts w:ascii="David" w:eastAsiaTheme="minorHAnsi" w:cs="David"/>
          <w:b/>
          <w:bCs/>
          <w:color w:val="000000"/>
          <w:rtl/>
        </w:rPr>
      </w:pPr>
      <w:r w:rsidRPr="000412AA">
        <w:rPr>
          <w:rFonts w:ascii="David" w:eastAsiaTheme="minorHAnsi" w:cs="David" w:hint="cs"/>
          <w:b/>
          <w:bCs/>
          <w:color w:val="000000"/>
          <w:rtl/>
        </w:rPr>
        <w:t>מעקב</w:t>
      </w:r>
    </w:p>
    <w:p w:rsidR="000412AA" w:rsidRPr="000412AA" w:rsidRDefault="000412AA" w:rsidP="000412AA">
      <w:pPr>
        <w:suppressAutoHyphens/>
        <w:autoSpaceDE w:val="0"/>
        <w:autoSpaceDN w:val="0"/>
        <w:adjustRightInd w:val="0"/>
        <w:spacing w:line="288" w:lineRule="auto"/>
        <w:ind w:left="566" w:hanging="566"/>
        <w:jc w:val="both"/>
        <w:textAlignment w:val="center"/>
        <w:rPr>
          <w:rFonts w:ascii="David" w:eastAsiaTheme="minorHAnsi" w:cs="David"/>
          <w:b/>
          <w:bCs/>
          <w:color w:val="000000"/>
          <w:rtl/>
        </w:rPr>
      </w:pPr>
      <w:r w:rsidRPr="000412AA">
        <w:rPr>
          <w:rFonts w:ascii="David" w:eastAsiaTheme="minorHAnsi" w:cs="David" w:hint="cs"/>
          <w:b/>
          <w:bCs/>
          <w:color w:val="000000"/>
          <w:rtl/>
        </w:rPr>
        <w:t>ועדת הבחירות המרכזית</w:t>
      </w:r>
    </w:p>
    <w:p w:rsidR="000412AA" w:rsidRPr="000412AA" w:rsidRDefault="000412AA" w:rsidP="000412AA">
      <w:pPr>
        <w:suppressAutoHyphens/>
        <w:autoSpaceDE w:val="0"/>
        <w:autoSpaceDN w:val="0"/>
        <w:adjustRightInd w:val="0"/>
        <w:spacing w:line="288" w:lineRule="auto"/>
        <w:ind w:left="566" w:hanging="566"/>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hint="cs"/>
          <w:color w:val="000000"/>
          <w:rtl/>
        </w:rPr>
        <w:t>1-5.</w:t>
      </w:r>
      <w:r w:rsidRPr="000412AA">
        <w:rPr>
          <w:rFonts w:ascii="David" w:eastAsiaTheme="minorHAnsi" w:cs="David"/>
          <w:color w:val="000000"/>
          <w:rtl/>
        </w:rPr>
        <w:tab/>
      </w:r>
      <w:r w:rsidRPr="000412AA">
        <w:rPr>
          <w:rFonts w:ascii="David" w:eastAsiaTheme="minorHAnsi" w:cs="David" w:hint="cs"/>
          <w:color w:val="000000"/>
          <w:rtl/>
        </w:rPr>
        <w:t>ביום 25.5.2010 מינתה יושבת-ראש הוועדה צוות היגוי לבחינת הליקויים.</w:t>
      </w: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color w:val="000000"/>
          <w:rtl/>
        </w:rPr>
        <w:tab/>
      </w:r>
      <w:r w:rsidRPr="000412AA">
        <w:rPr>
          <w:rFonts w:ascii="David" w:eastAsiaTheme="minorHAnsi" w:cs="David" w:hint="cs"/>
          <w:color w:val="000000"/>
          <w:rtl/>
        </w:rPr>
        <w:t xml:space="preserve">ביום 13.6.2010, מינתה המנהלת הכללית של הוועדה, ועדת משנה לבחינת הליקויים בנושאי מינהל ומשאבי אנוש, וועדת משנה נוספת לבחינת אופן גיוס העובדים, מעמדם וההסדרים שיש להחיל עליהם. </w:t>
      </w: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color w:val="000000"/>
          <w:rtl/>
        </w:rPr>
        <w:tab/>
      </w:r>
      <w:r w:rsidRPr="000412AA">
        <w:rPr>
          <w:rFonts w:ascii="David" w:eastAsiaTheme="minorHAnsi" w:cs="David" w:hint="cs"/>
          <w:color w:val="000000"/>
          <w:rtl/>
        </w:rPr>
        <w:t>ראה הערות רה"מ 60ב' עמ' 278.</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r w:rsidRPr="000412AA">
        <w:rPr>
          <w:rFonts w:ascii="David" w:eastAsiaTheme="minorHAnsi" w:cs="David" w:hint="cs"/>
          <w:b/>
          <w:bCs/>
          <w:color w:val="000000"/>
          <w:rtl/>
        </w:rPr>
        <w:t>ליקוי</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hint="cs"/>
          <w:color w:val="000000"/>
          <w:rtl/>
        </w:rPr>
        <w:t xml:space="preserve">6. </w:t>
      </w:r>
      <w:r w:rsidRPr="000412AA">
        <w:rPr>
          <w:rFonts w:ascii="David" w:eastAsiaTheme="minorHAnsi" w:cs="David"/>
          <w:color w:val="000000"/>
          <w:rtl/>
        </w:rPr>
        <w:tab/>
      </w:r>
      <w:r w:rsidRPr="000412AA">
        <w:rPr>
          <w:rFonts w:ascii="David" w:eastAsiaTheme="minorHAnsi" w:cs="David" w:hint="cs"/>
          <w:color w:val="000000"/>
          <w:rtl/>
        </w:rPr>
        <w:t xml:space="preserve">הקצאת מקומות קלפי למוגבלים בניידות: הליך בחירות דמוקרטי מחייב יצירת תנאים נאותים שיאפשרו לכל שכבות האוכלוסייה, לרבות אנשים מוגבלים בניידותם, נגישות לקלפי. לפיכך קבע החוק כי בכל יישוב תהיה לכל הפחות קלפי נגישה אחת, שהגישה אליה וסידורי ההצבעה בה יותאמו למוגבלים בניידותם. עוד קבע החוק כי בכל מקום קלפי אמורים להיות שני מקומות חניה המיועדים למוגבלים בניידותם, ולידם תמרור המורה על כך. ביום הבחירות לכנסת השמונה עשרה הופעלו כאמור 1,319 קלפיות נגישות. אולם מן הבדיקה עולה כי בשבעה יישובים לא הייתה קלפי נגישה וכי ב-108 מ-274 מקומות הקלפי שנבדקו (כ-39%), לא הציבה הרשות המקומית תמרור כנדרש.  </w:t>
      </w:r>
    </w:p>
    <w:p w:rsidR="000412AA" w:rsidRPr="000412AA" w:rsidRDefault="000412AA" w:rsidP="000412AA">
      <w:pPr>
        <w:suppressAutoHyphens/>
        <w:autoSpaceDE w:val="0"/>
        <w:autoSpaceDN w:val="0"/>
        <w:adjustRightInd w:val="0"/>
        <w:spacing w:line="288" w:lineRule="auto"/>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jc w:val="both"/>
        <w:textAlignment w:val="center"/>
        <w:rPr>
          <w:rFonts w:ascii="David" w:eastAsiaTheme="minorHAnsi" w:cs="David"/>
          <w:b/>
          <w:bCs/>
          <w:color w:val="000000"/>
          <w:rtl/>
        </w:rPr>
      </w:pPr>
      <w:r w:rsidRPr="000412AA">
        <w:rPr>
          <w:rFonts w:ascii="David" w:eastAsiaTheme="minorHAnsi" w:cs="David" w:hint="cs"/>
          <w:b/>
          <w:bCs/>
          <w:color w:val="000000"/>
          <w:rtl/>
        </w:rPr>
        <w:t>מעקב</w:t>
      </w:r>
    </w:p>
    <w:p w:rsidR="000412AA" w:rsidRPr="000412AA" w:rsidRDefault="000412AA" w:rsidP="000412AA">
      <w:pPr>
        <w:suppressAutoHyphens/>
        <w:autoSpaceDE w:val="0"/>
        <w:autoSpaceDN w:val="0"/>
        <w:adjustRightInd w:val="0"/>
        <w:spacing w:line="288" w:lineRule="auto"/>
        <w:ind w:left="566" w:hanging="566"/>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hint="cs"/>
          <w:color w:val="000000"/>
          <w:rtl/>
        </w:rPr>
        <w:t>6.</w:t>
      </w:r>
      <w:r w:rsidRPr="000412AA">
        <w:rPr>
          <w:rFonts w:ascii="David" w:eastAsiaTheme="minorHAnsi" w:cs="David"/>
          <w:color w:val="000000"/>
          <w:rtl/>
        </w:rPr>
        <w:tab/>
      </w:r>
      <w:r w:rsidRPr="000412AA">
        <w:rPr>
          <w:rFonts w:ascii="David" w:eastAsiaTheme="minorHAnsi" w:cs="David" w:hint="cs"/>
          <w:color w:val="000000"/>
          <w:rtl/>
        </w:rPr>
        <w:t>ביום 17.6.2010 נשלח מכתב אל כל ראשי הרשויות המקומיות, בו הופנתה תשומת לבם לחובה המוטלת עליהם בהוראת סעיף 68א(ג1) לחוק הבחירות לכנסת. כן הופנתה תשומת לבם להערת מבקר המדינה בנושא.</w:t>
      </w: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color w:val="000000"/>
          <w:rtl/>
        </w:rPr>
        <w:tab/>
      </w:r>
      <w:r w:rsidRPr="000412AA">
        <w:rPr>
          <w:rFonts w:ascii="David" w:eastAsiaTheme="minorHAnsi" w:cs="David" w:hint="cs"/>
          <w:color w:val="000000"/>
          <w:rtl/>
        </w:rPr>
        <w:t xml:space="preserve">הצעת החוק לתיקון סעיף 68א לחוק הבחירות לכנסת אושרה  לקריאה ראשונה ביום 12.10.2009, ומאז לא חלה כל התקדמות בהליך החקיקה. </w:t>
      </w: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color w:val="000000"/>
          <w:rtl/>
        </w:rPr>
        <w:tab/>
      </w:r>
      <w:r w:rsidRPr="000412AA">
        <w:rPr>
          <w:rFonts w:ascii="David" w:eastAsiaTheme="minorHAnsi" w:cs="David" w:hint="cs"/>
          <w:color w:val="000000"/>
          <w:rtl/>
        </w:rPr>
        <w:t>צוות האיתור של הוועדה פועל  באופן שוטף לאיתור מקומות מתאימים נוספים לקלפיות נגישות.  לאחרונה,  לאחר שבוצעו התאמות נגישות על-ידי הרשויות המקומיות בישובים ג'ש ויבניאל, קבע צוות האיתור קלפיות נגישות גם בישובים אלה. כיום יש מקומות מתאימים לקלפיות נגישות בכל הישובים ברחבי הארץ.</w:t>
      </w: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color w:val="000000"/>
          <w:rtl/>
        </w:rPr>
        <w:tab/>
      </w:r>
      <w:r w:rsidRPr="000412AA">
        <w:rPr>
          <w:rFonts w:ascii="David" w:eastAsiaTheme="minorHAnsi" w:cs="David" w:hint="cs"/>
          <w:color w:val="000000"/>
          <w:rtl/>
        </w:rPr>
        <w:t>ראה הערות רה"מ 60ב' עמ' 280.</w:t>
      </w: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b/>
          <w:bCs/>
          <w:color w:val="000000"/>
          <w:rtl/>
        </w:rPr>
      </w:pPr>
      <w:r w:rsidRPr="000412AA">
        <w:rPr>
          <w:rFonts w:ascii="David" w:eastAsiaTheme="minorHAnsi" w:cs="David" w:hint="cs"/>
          <w:b/>
          <w:bCs/>
          <w:color w:val="000000"/>
          <w:rtl/>
        </w:rPr>
        <w:t>ליקוי</w:t>
      </w:r>
    </w:p>
    <w:p w:rsidR="000412AA" w:rsidRPr="000412AA" w:rsidRDefault="000412AA" w:rsidP="000412AA">
      <w:pPr>
        <w:suppressAutoHyphens/>
        <w:autoSpaceDE w:val="0"/>
        <w:autoSpaceDN w:val="0"/>
        <w:adjustRightInd w:val="0"/>
        <w:spacing w:line="288" w:lineRule="auto"/>
        <w:ind w:left="12"/>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r w:rsidRPr="000412AA">
        <w:rPr>
          <w:rFonts w:ascii="David" w:eastAsiaTheme="minorHAnsi" w:cs="David" w:hint="cs"/>
          <w:color w:val="000000"/>
          <w:rtl/>
        </w:rPr>
        <w:t xml:space="preserve">7. </w:t>
      </w:r>
      <w:r w:rsidRPr="000412AA">
        <w:rPr>
          <w:rFonts w:ascii="David" w:eastAsiaTheme="minorHAnsi" w:cs="David"/>
          <w:color w:val="000000"/>
          <w:rtl/>
        </w:rPr>
        <w:tab/>
      </w:r>
      <w:r w:rsidRPr="000412AA">
        <w:rPr>
          <w:rFonts w:ascii="David" w:eastAsiaTheme="minorHAnsi" w:cs="David" w:hint="cs"/>
          <w:color w:val="000000"/>
          <w:rtl/>
        </w:rPr>
        <w:t xml:space="preserve">הפעלת מערכת מחשוב חדשה: משרד מבקר המדינה מעיר לוועדה המרכזית כי תפקידיו של מתאם המיכון הוגדרו אמנם בחוזה עם הספק, אולם במשך השנים חלו שינויים בתפקידיו. לפיכך ראוי שהוועדה המרכזית והספק יגדירו מחדש את תפקידי המתאם, הן בעניין זה והן בכל העניינים האחרים שבהם הספק נותן שירותים לוועדה המרכזית ולוועדות האזוריות. כמו-כן, הבקרה על קבלת הציוד מהספק מוטלת על עובדי הוועדות. למרות זאת, צוין במסמך הפקת הלקחים של המטה המינהלי, כי בוועדות אזוריות אחדות מי שקיבלו את </w:t>
      </w:r>
      <w:r w:rsidRPr="000412AA">
        <w:rPr>
          <w:rFonts w:ascii="David" w:eastAsiaTheme="minorHAnsi" w:cs="David" w:hint="cs"/>
          <w:color w:val="000000"/>
          <w:rtl/>
        </w:rPr>
        <w:lastRenderedPageBreak/>
        <w:t xml:space="preserve">הציוד היו מתאמי המיכון, שכאמור הם עובדי הספק ולא עובדים של הוועדות. משרד מבקר המדינה מעיר לוועדה המרכזית כי ראוי שהמקבלים את הציוד מטעמה בוועדות האזוריות, יהיו מיומנים דיים כך שיוכלו לבצע את הפעולות המתחייבות מתוקף תפקידם זה.   </w:t>
      </w: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color w:val="000000"/>
          <w:rtl/>
        </w:rPr>
      </w:pPr>
    </w:p>
    <w:p w:rsidR="000412AA" w:rsidRPr="000412AA" w:rsidRDefault="000412AA" w:rsidP="000412AA">
      <w:pPr>
        <w:suppressAutoHyphens/>
        <w:autoSpaceDE w:val="0"/>
        <w:autoSpaceDN w:val="0"/>
        <w:adjustRightInd w:val="0"/>
        <w:spacing w:line="288" w:lineRule="auto"/>
        <w:ind w:left="567" w:hanging="567"/>
        <w:jc w:val="both"/>
        <w:textAlignment w:val="center"/>
        <w:rPr>
          <w:rFonts w:ascii="David" w:eastAsiaTheme="minorHAnsi" w:cs="David"/>
          <w:b/>
          <w:bCs/>
          <w:color w:val="000000"/>
          <w:rtl/>
        </w:rPr>
      </w:pPr>
      <w:r w:rsidRPr="000412AA">
        <w:rPr>
          <w:rFonts w:ascii="David" w:eastAsiaTheme="minorHAnsi" w:cs="David" w:hint="cs"/>
          <w:b/>
          <w:bCs/>
          <w:color w:val="000000"/>
          <w:rtl/>
        </w:rPr>
        <w:t>מעקב</w:t>
      </w:r>
    </w:p>
    <w:p w:rsidR="000412AA" w:rsidRPr="000412AA" w:rsidRDefault="000412AA" w:rsidP="000412AA">
      <w:pPr>
        <w:suppressAutoHyphens/>
        <w:autoSpaceDE w:val="0"/>
        <w:autoSpaceDN w:val="0"/>
        <w:adjustRightInd w:val="0"/>
        <w:spacing w:line="288" w:lineRule="auto"/>
        <w:ind w:left="566" w:hanging="566"/>
        <w:jc w:val="both"/>
        <w:textAlignment w:val="center"/>
        <w:rPr>
          <w:rFonts w:ascii="David" w:eastAsiaTheme="minorHAnsi" w:cs="David"/>
          <w:b/>
          <w:bCs/>
          <w:color w:val="000000"/>
          <w:rtl/>
        </w:rPr>
      </w:pPr>
    </w:p>
    <w:p w:rsidR="000412AA" w:rsidRPr="000412AA" w:rsidRDefault="000412AA" w:rsidP="000412AA">
      <w:pPr>
        <w:suppressAutoHyphens/>
        <w:autoSpaceDE w:val="0"/>
        <w:autoSpaceDN w:val="0"/>
        <w:adjustRightInd w:val="0"/>
        <w:spacing w:line="288" w:lineRule="auto"/>
        <w:ind w:left="1134" w:hanging="1134"/>
        <w:jc w:val="both"/>
        <w:textAlignment w:val="center"/>
        <w:rPr>
          <w:rFonts w:ascii="David" w:eastAsiaTheme="minorHAnsi" w:cs="David"/>
          <w:color w:val="000000"/>
          <w:rtl/>
        </w:rPr>
      </w:pPr>
      <w:r w:rsidRPr="000412AA">
        <w:rPr>
          <w:rFonts w:ascii="David" w:eastAsiaTheme="minorHAnsi" w:cs="David" w:hint="cs"/>
          <w:color w:val="000000"/>
          <w:rtl/>
        </w:rPr>
        <w:t>7.</w:t>
      </w:r>
      <w:r w:rsidRPr="000412AA">
        <w:rPr>
          <w:rFonts w:ascii="David" w:eastAsiaTheme="minorHAnsi" w:cs="David"/>
          <w:color w:val="000000"/>
          <w:rtl/>
        </w:rPr>
        <w:tab/>
      </w:r>
      <w:r w:rsidRPr="000412AA">
        <w:rPr>
          <w:rFonts w:ascii="David" w:eastAsiaTheme="minorHAnsi" w:cs="David" w:hint="cs"/>
          <w:color w:val="000000"/>
          <w:rtl/>
        </w:rPr>
        <w:t xml:space="preserve">בישיבתו מיום  7.6.2010, החליט צוות ההיגוי להטיל על ראש אגף מחשוב מבצעים ותפעול בוועדה לבחון את הערות מבקר המדינה בדבר הפעלת מערכת המחשוב החדשה ולהגיש המלצותיו לצוות ההיגוי. </w:t>
      </w:r>
    </w:p>
    <w:p w:rsidR="008B040D" w:rsidRPr="000412AA" w:rsidRDefault="000412AA" w:rsidP="000412AA">
      <w:pPr>
        <w:rPr>
          <w:rtl/>
        </w:rPr>
      </w:pPr>
      <w:r w:rsidRPr="000412AA">
        <w:rPr>
          <w:rFonts w:ascii="David" w:eastAsiaTheme="minorHAnsi" w:cs="David" w:hint="cs"/>
          <w:color w:val="000000"/>
          <w:rtl/>
        </w:rPr>
        <w:t xml:space="preserve">                     ראה הערות רה"מ 60ב' עמ' 280.</w:t>
      </w:r>
    </w:p>
    <w:sectPr w:rsidR="008B040D" w:rsidRPr="000412AA" w:rsidSect="0070082B">
      <w:headerReference w:type="default" r:id="rId8"/>
      <w:pgSz w:w="11906" w:h="16838"/>
      <w:pgMar w:top="1440" w:right="1800" w:bottom="1440" w:left="1800" w:header="708" w:footer="472"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2AA" w:rsidRDefault="000412AA" w:rsidP="0070082B">
      <w:r>
        <w:separator/>
      </w:r>
    </w:p>
  </w:endnote>
  <w:endnote w:type="continuationSeparator" w:id="1">
    <w:p w:rsidR="000412AA" w:rsidRDefault="000412AA" w:rsidP="007008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2AA" w:rsidRDefault="000412AA" w:rsidP="0070082B">
      <w:r>
        <w:separator/>
      </w:r>
    </w:p>
  </w:footnote>
  <w:footnote w:type="continuationSeparator" w:id="1">
    <w:p w:rsidR="000412AA" w:rsidRDefault="000412AA" w:rsidP="007008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C44" w:rsidRPr="00AF560E" w:rsidRDefault="00EC4449" w:rsidP="002479B4">
    <w:pPr>
      <w:pStyle w:val="aa"/>
      <w:jc w:val="right"/>
      <w:rPr>
        <w:rFonts w:cs="David"/>
        <w:sz w:val="14"/>
        <w:szCs w:val="14"/>
        <w:rtl/>
      </w:rPr>
    </w:pPr>
    <w:r w:rsidRPr="00AF560E">
      <w:rPr>
        <w:rFonts w:cs="David"/>
        <w:sz w:val="16"/>
        <w:szCs w:val="16"/>
        <w:rtl/>
      </w:rPr>
      <w:fldChar w:fldCharType="begin"/>
    </w:r>
    <w:r w:rsidR="003E7C44" w:rsidRPr="00AF560E">
      <w:rPr>
        <w:rFonts w:cs="David"/>
        <w:sz w:val="16"/>
        <w:szCs w:val="16"/>
        <w:rtl/>
      </w:rPr>
      <w:instrText xml:space="preserve"> </w:instrText>
    </w:r>
    <w:r w:rsidR="003E7C44" w:rsidRPr="00AF560E">
      <w:rPr>
        <w:rFonts w:cs="David" w:hint="cs"/>
        <w:sz w:val="16"/>
        <w:szCs w:val="16"/>
      </w:rPr>
      <w:instrText>TIME  \@ "HH:mm"  \* MERGEFORMAT</w:instrText>
    </w:r>
    <w:r w:rsidR="003E7C44" w:rsidRPr="00AF560E">
      <w:rPr>
        <w:rFonts w:cs="David"/>
        <w:sz w:val="16"/>
        <w:szCs w:val="16"/>
        <w:rtl/>
      </w:rPr>
      <w:instrText xml:space="preserve"> </w:instrText>
    </w:r>
    <w:r w:rsidRPr="00AF560E">
      <w:rPr>
        <w:rFonts w:cs="David"/>
        <w:sz w:val="16"/>
        <w:szCs w:val="16"/>
        <w:rtl/>
      </w:rPr>
      <w:fldChar w:fldCharType="separate"/>
    </w:r>
    <w:r w:rsidR="000412AA">
      <w:rPr>
        <w:rFonts w:cs="David" w:hint="cs"/>
        <w:noProof/>
        <w:sz w:val="16"/>
        <w:szCs w:val="16"/>
        <w:rtl/>
      </w:rPr>
      <w:t>‏</w:t>
    </w:r>
    <w:r w:rsidR="000412AA">
      <w:rPr>
        <w:rFonts w:cs="David"/>
        <w:noProof/>
        <w:sz w:val="16"/>
        <w:szCs w:val="16"/>
        <w:rtl/>
      </w:rPr>
      <w:t>12:49</w:t>
    </w:r>
    <w:r w:rsidRPr="00AF560E">
      <w:rPr>
        <w:rFonts w:cs="David"/>
        <w:sz w:val="16"/>
        <w:szCs w:val="16"/>
        <w:rtl/>
      </w:rPr>
      <w:fldChar w:fldCharType="end"/>
    </w:r>
    <w:r w:rsidR="003E7C44" w:rsidRPr="00AF560E">
      <w:rPr>
        <w:rFonts w:cs="David" w:hint="cs"/>
        <w:sz w:val="16"/>
        <w:szCs w:val="16"/>
        <w:rtl/>
      </w:rPr>
      <w:t xml:space="preserve">  </w:t>
    </w:r>
    <w:r w:rsidRPr="00AF560E">
      <w:rPr>
        <w:rFonts w:cs="David"/>
        <w:sz w:val="16"/>
        <w:szCs w:val="16"/>
        <w:rtl/>
      </w:rPr>
      <w:fldChar w:fldCharType="begin"/>
    </w:r>
    <w:r w:rsidR="003E7C44" w:rsidRPr="00AF560E">
      <w:rPr>
        <w:rFonts w:cs="David"/>
        <w:sz w:val="16"/>
        <w:szCs w:val="16"/>
        <w:rtl/>
      </w:rPr>
      <w:instrText xml:space="preserve"> </w:instrText>
    </w:r>
    <w:r w:rsidR="003E7C44" w:rsidRPr="00AF560E">
      <w:rPr>
        <w:rFonts w:cs="David" w:hint="cs"/>
        <w:sz w:val="16"/>
        <w:szCs w:val="16"/>
      </w:rPr>
      <w:instrText>DATE  \@ "yyyy-MM-dd"  \* MERGEFORMAT</w:instrText>
    </w:r>
    <w:r w:rsidR="003E7C44" w:rsidRPr="00AF560E">
      <w:rPr>
        <w:rFonts w:cs="David"/>
        <w:sz w:val="16"/>
        <w:szCs w:val="16"/>
        <w:rtl/>
      </w:rPr>
      <w:instrText xml:space="preserve"> </w:instrText>
    </w:r>
    <w:r w:rsidRPr="00AF560E">
      <w:rPr>
        <w:rFonts w:cs="David"/>
        <w:sz w:val="16"/>
        <w:szCs w:val="16"/>
        <w:rtl/>
      </w:rPr>
      <w:fldChar w:fldCharType="separate"/>
    </w:r>
    <w:r w:rsidR="000412AA">
      <w:rPr>
        <w:rFonts w:cs="David" w:hint="cs"/>
        <w:noProof/>
        <w:sz w:val="16"/>
        <w:szCs w:val="16"/>
        <w:rtl/>
      </w:rPr>
      <w:t>‏</w:t>
    </w:r>
    <w:r w:rsidR="000412AA">
      <w:rPr>
        <w:rFonts w:cs="David"/>
        <w:noProof/>
        <w:sz w:val="16"/>
        <w:szCs w:val="16"/>
        <w:rtl/>
      </w:rPr>
      <w:t>2010–12–12</w:t>
    </w:r>
    <w:r w:rsidRPr="00AF560E">
      <w:rPr>
        <w:rFonts w:cs="David"/>
        <w:sz w:val="16"/>
        <w:szCs w:val="16"/>
        <w:rtl/>
      </w:rPr>
      <w:fldChar w:fldCharType="end"/>
    </w:r>
    <w:r w:rsidR="003E7C44" w:rsidRPr="00AF560E">
      <w:rPr>
        <w:rFonts w:hint="cs"/>
        <w:sz w:val="14"/>
        <w:szCs w:val="14"/>
        <w:rtl/>
      </w:rPr>
      <w:t xml:space="preserve">   </w:t>
    </w:r>
    <w:fldSimple w:instr=" FILENAME  \* FirstCap \p  \* MERGEFORMAT ">
      <w:r w:rsidR="000412AA" w:rsidRPr="000412AA">
        <w:rPr>
          <w:noProof/>
          <w:sz w:val="14"/>
          <w:szCs w:val="14"/>
        </w:rPr>
        <w:t>Document1</w:t>
      </w:r>
    </w:fldSimple>
    <w:r w:rsidR="003E7C44" w:rsidRPr="00AF560E">
      <w:rPr>
        <w:rFonts w:hint="cs"/>
        <w:sz w:val="14"/>
        <w:szCs w:val="14"/>
        <w:rtl/>
      </w:rPr>
      <w:t xml:space="preserve">    </w:t>
    </w:r>
    <w:r w:rsidR="003E7C44" w:rsidRPr="00AF560E">
      <w:rPr>
        <w:rFonts w:cs="David" w:hint="cs"/>
        <w:sz w:val="16"/>
        <w:szCs w:val="16"/>
        <w:rtl/>
      </w:rPr>
      <w:t>-</w:t>
    </w:r>
    <w:r w:rsidRPr="00AF560E">
      <w:rPr>
        <w:rFonts w:cs="David"/>
        <w:sz w:val="16"/>
        <w:szCs w:val="16"/>
        <w:rtl/>
      </w:rPr>
      <w:fldChar w:fldCharType="begin"/>
    </w:r>
    <w:r w:rsidR="003E7C44" w:rsidRPr="00AF560E">
      <w:rPr>
        <w:rFonts w:cs="David"/>
        <w:sz w:val="16"/>
        <w:szCs w:val="16"/>
        <w:rtl/>
      </w:rPr>
      <w:instrText xml:space="preserve"> </w:instrText>
    </w:r>
    <w:r w:rsidR="003E7C44" w:rsidRPr="00AF560E">
      <w:rPr>
        <w:rFonts w:cs="David"/>
        <w:sz w:val="16"/>
        <w:szCs w:val="16"/>
      </w:rPr>
      <w:instrText>PAGE   \* MERGEFORMAT</w:instrText>
    </w:r>
    <w:r w:rsidR="003E7C44" w:rsidRPr="00AF560E">
      <w:rPr>
        <w:rFonts w:cs="David"/>
        <w:sz w:val="16"/>
        <w:szCs w:val="16"/>
        <w:rtl/>
      </w:rPr>
      <w:instrText xml:space="preserve"> </w:instrText>
    </w:r>
    <w:r w:rsidRPr="00AF560E">
      <w:rPr>
        <w:rFonts w:cs="David"/>
        <w:sz w:val="16"/>
        <w:szCs w:val="16"/>
        <w:rtl/>
      </w:rPr>
      <w:fldChar w:fldCharType="separate"/>
    </w:r>
    <w:r w:rsidR="000412AA">
      <w:rPr>
        <w:rFonts w:cs="David"/>
        <w:noProof/>
        <w:sz w:val="16"/>
        <w:szCs w:val="16"/>
        <w:rtl/>
      </w:rPr>
      <w:t>3</w:t>
    </w:r>
    <w:r w:rsidRPr="00AF560E">
      <w:rPr>
        <w:rFonts w:cs="David"/>
        <w:sz w:val="16"/>
        <w:szCs w:val="16"/>
        <w:rtl/>
      </w:rPr>
      <w:fldChar w:fldCharType="end"/>
    </w:r>
    <w:r w:rsidR="003E7C44" w:rsidRPr="00AF560E">
      <w:rPr>
        <w:rFonts w:cs="David" w:hint="cs"/>
        <w:sz w:val="16"/>
        <w:szCs w:val="16"/>
        <w:rtl/>
      </w:rPr>
      <w:t>-</w:t>
    </w:r>
  </w:p>
  <w:p w:rsidR="003E7C44" w:rsidRDefault="003E7C44" w:rsidP="0070082B">
    <w:pPr>
      <w:pStyle w:val="aa"/>
      <w:rPr>
        <w:rFonts w:cs="David"/>
        <w:sz w:val="20"/>
        <w:szCs w:val="20"/>
        <w:u w:val="single"/>
        <w:rtl/>
      </w:rPr>
    </w:pPr>
  </w:p>
  <w:p w:rsidR="00AF560E" w:rsidRPr="00AF560E" w:rsidRDefault="00AF560E" w:rsidP="00AF560E">
    <w:pPr>
      <w:pStyle w:val="1"/>
      <w:ind w:hanging="58"/>
      <w:rPr>
        <w:b w:val="0"/>
        <w:bCs w:val="0"/>
        <w:i w:val="0"/>
        <w:iCs w:val="0"/>
        <w:szCs w:val="32"/>
        <w:u w:val="single"/>
        <w:rtl/>
      </w:rPr>
    </w:pPr>
    <w:r w:rsidRPr="00AF560E">
      <w:rPr>
        <w:rFonts w:hint="cs"/>
        <w:b w:val="0"/>
        <w:bCs w:val="0"/>
        <w:i w:val="0"/>
        <w:iCs w:val="0"/>
        <w:sz w:val="18"/>
        <w:szCs w:val="18"/>
        <w:u w:val="single"/>
        <w:rtl/>
      </w:rPr>
      <w:t xml:space="preserve">מעקב אחר תיקון ליקויים, אגף המפקח הכללי לענייני ביקורת המדינה                              </w:t>
    </w:r>
    <w:r>
      <w:rPr>
        <w:rFonts w:hint="cs"/>
        <w:b w:val="0"/>
        <w:bCs w:val="0"/>
        <w:i w:val="0"/>
        <w:iCs w:val="0"/>
        <w:sz w:val="18"/>
        <w:szCs w:val="18"/>
        <w:u w:val="single"/>
        <w:rtl/>
      </w:rPr>
      <w:t xml:space="preserve">                                </w:t>
    </w:r>
    <w:r w:rsidRPr="00AF560E">
      <w:rPr>
        <w:rFonts w:hint="cs"/>
        <w:b w:val="0"/>
        <w:bCs w:val="0"/>
        <w:i w:val="0"/>
        <w:iCs w:val="0"/>
        <w:sz w:val="18"/>
        <w:szCs w:val="18"/>
        <w:u w:val="single"/>
        <w:rtl/>
      </w:rPr>
      <w:t xml:space="preserve">             </w:t>
    </w:r>
    <w:r>
      <w:rPr>
        <w:rFonts w:hint="cs"/>
        <w:b w:val="0"/>
        <w:bCs w:val="0"/>
        <w:i w:val="0"/>
        <w:iCs w:val="0"/>
        <w:sz w:val="18"/>
        <w:szCs w:val="18"/>
        <w:u w:val="single"/>
        <w:rtl/>
      </w:rPr>
      <w:t>משרד הפנים</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70AA"/>
    <w:multiLevelType w:val="hybridMultilevel"/>
    <w:tmpl w:val="4AD42CAE"/>
    <w:lvl w:ilvl="0" w:tplc="0409000F">
      <w:start w:val="11"/>
      <w:numFmt w:val="decimal"/>
      <w:lvlText w:val="%1."/>
      <w:lvlJc w:val="left"/>
      <w:pPr>
        <w:tabs>
          <w:tab w:val="num" w:pos="1854"/>
        </w:tabs>
        <w:ind w:left="1854" w:right="1854" w:hanging="360"/>
      </w:pPr>
      <w:rPr>
        <w:rFonts w:hint="default"/>
      </w:rPr>
    </w:lvl>
    <w:lvl w:ilvl="1" w:tplc="04090019" w:tentative="1">
      <w:start w:val="1"/>
      <w:numFmt w:val="lowerLetter"/>
      <w:lvlText w:val="%2."/>
      <w:lvlJc w:val="left"/>
      <w:pPr>
        <w:tabs>
          <w:tab w:val="num" w:pos="2574"/>
        </w:tabs>
        <w:ind w:left="2574" w:right="2574" w:hanging="360"/>
      </w:pPr>
    </w:lvl>
    <w:lvl w:ilvl="2" w:tplc="0409001B" w:tentative="1">
      <w:start w:val="1"/>
      <w:numFmt w:val="lowerRoman"/>
      <w:lvlText w:val="%3."/>
      <w:lvlJc w:val="right"/>
      <w:pPr>
        <w:tabs>
          <w:tab w:val="num" w:pos="3294"/>
        </w:tabs>
        <w:ind w:left="3294" w:right="3294" w:hanging="180"/>
      </w:pPr>
    </w:lvl>
    <w:lvl w:ilvl="3" w:tplc="0409000F" w:tentative="1">
      <w:start w:val="1"/>
      <w:numFmt w:val="decimal"/>
      <w:lvlText w:val="%4."/>
      <w:lvlJc w:val="left"/>
      <w:pPr>
        <w:tabs>
          <w:tab w:val="num" w:pos="4014"/>
        </w:tabs>
        <w:ind w:left="4014" w:right="4014" w:hanging="360"/>
      </w:pPr>
    </w:lvl>
    <w:lvl w:ilvl="4" w:tplc="04090019" w:tentative="1">
      <w:start w:val="1"/>
      <w:numFmt w:val="lowerLetter"/>
      <w:lvlText w:val="%5."/>
      <w:lvlJc w:val="left"/>
      <w:pPr>
        <w:tabs>
          <w:tab w:val="num" w:pos="4734"/>
        </w:tabs>
        <w:ind w:left="4734" w:right="4734" w:hanging="360"/>
      </w:pPr>
    </w:lvl>
    <w:lvl w:ilvl="5" w:tplc="0409001B" w:tentative="1">
      <w:start w:val="1"/>
      <w:numFmt w:val="lowerRoman"/>
      <w:lvlText w:val="%6."/>
      <w:lvlJc w:val="right"/>
      <w:pPr>
        <w:tabs>
          <w:tab w:val="num" w:pos="5454"/>
        </w:tabs>
        <w:ind w:left="5454" w:right="5454" w:hanging="180"/>
      </w:pPr>
    </w:lvl>
    <w:lvl w:ilvl="6" w:tplc="0409000F" w:tentative="1">
      <w:start w:val="1"/>
      <w:numFmt w:val="decimal"/>
      <w:lvlText w:val="%7."/>
      <w:lvlJc w:val="left"/>
      <w:pPr>
        <w:tabs>
          <w:tab w:val="num" w:pos="6174"/>
        </w:tabs>
        <w:ind w:left="6174" w:right="6174" w:hanging="360"/>
      </w:pPr>
    </w:lvl>
    <w:lvl w:ilvl="7" w:tplc="04090019" w:tentative="1">
      <w:start w:val="1"/>
      <w:numFmt w:val="lowerLetter"/>
      <w:lvlText w:val="%8."/>
      <w:lvlJc w:val="left"/>
      <w:pPr>
        <w:tabs>
          <w:tab w:val="num" w:pos="6894"/>
        </w:tabs>
        <w:ind w:left="6894" w:right="6894" w:hanging="360"/>
      </w:pPr>
    </w:lvl>
    <w:lvl w:ilvl="8" w:tplc="0409001B" w:tentative="1">
      <w:start w:val="1"/>
      <w:numFmt w:val="lowerRoman"/>
      <w:lvlText w:val="%9."/>
      <w:lvlJc w:val="right"/>
      <w:pPr>
        <w:tabs>
          <w:tab w:val="num" w:pos="7614"/>
        </w:tabs>
        <w:ind w:left="7614" w:right="7614" w:hanging="180"/>
      </w:pPr>
    </w:lvl>
  </w:abstractNum>
  <w:abstractNum w:abstractNumId="1">
    <w:nsid w:val="697E5B54"/>
    <w:multiLevelType w:val="hybridMultilevel"/>
    <w:tmpl w:val="FA02B5FE"/>
    <w:lvl w:ilvl="0" w:tplc="8B7EDBB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0"/>
  <w:defaultTabStop w:val="720"/>
  <w:characterSpacingControl w:val="doNotCompress"/>
  <w:hdrShapeDefaults>
    <o:shapedefaults v:ext="edit" spidmax="40962"/>
  </w:hdrShapeDefaults>
  <w:footnotePr>
    <w:footnote w:id="0"/>
    <w:footnote w:id="1"/>
  </w:footnotePr>
  <w:endnotePr>
    <w:endnote w:id="0"/>
    <w:endnote w:id="1"/>
  </w:endnotePr>
  <w:compat/>
  <w:rsids>
    <w:rsid w:val="00025FD7"/>
    <w:rsid w:val="000412AA"/>
    <w:rsid w:val="000667F2"/>
    <w:rsid w:val="00066938"/>
    <w:rsid w:val="00072B93"/>
    <w:rsid w:val="00080C1D"/>
    <w:rsid w:val="000B0090"/>
    <w:rsid w:val="000E146B"/>
    <w:rsid w:val="000F7D35"/>
    <w:rsid w:val="0012528B"/>
    <w:rsid w:val="00125B6B"/>
    <w:rsid w:val="001361DB"/>
    <w:rsid w:val="0013646F"/>
    <w:rsid w:val="0015787A"/>
    <w:rsid w:val="00165755"/>
    <w:rsid w:val="001B4679"/>
    <w:rsid w:val="001B7AE3"/>
    <w:rsid w:val="001E6F22"/>
    <w:rsid w:val="001F4C0B"/>
    <w:rsid w:val="002018F7"/>
    <w:rsid w:val="00226707"/>
    <w:rsid w:val="002479B4"/>
    <w:rsid w:val="00273C66"/>
    <w:rsid w:val="00285602"/>
    <w:rsid w:val="002C46D6"/>
    <w:rsid w:val="002F08DB"/>
    <w:rsid w:val="00302260"/>
    <w:rsid w:val="00305FE1"/>
    <w:rsid w:val="003160CA"/>
    <w:rsid w:val="00322038"/>
    <w:rsid w:val="00323338"/>
    <w:rsid w:val="00326003"/>
    <w:rsid w:val="00334C6D"/>
    <w:rsid w:val="00342DD4"/>
    <w:rsid w:val="00343BA2"/>
    <w:rsid w:val="003518E1"/>
    <w:rsid w:val="00361A4E"/>
    <w:rsid w:val="003701F2"/>
    <w:rsid w:val="0038194E"/>
    <w:rsid w:val="00393405"/>
    <w:rsid w:val="003E2E9F"/>
    <w:rsid w:val="003E7C44"/>
    <w:rsid w:val="003F1649"/>
    <w:rsid w:val="00410A72"/>
    <w:rsid w:val="004B29BE"/>
    <w:rsid w:val="004B47A3"/>
    <w:rsid w:val="004E280F"/>
    <w:rsid w:val="005217D9"/>
    <w:rsid w:val="005309E8"/>
    <w:rsid w:val="00531E1E"/>
    <w:rsid w:val="00540358"/>
    <w:rsid w:val="00554662"/>
    <w:rsid w:val="0058150A"/>
    <w:rsid w:val="005954A8"/>
    <w:rsid w:val="005B23BB"/>
    <w:rsid w:val="005B5AC0"/>
    <w:rsid w:val="005C388B"/>
    <w:rsid w:val="005F506D"/>
    <w:rsid w:val="00642675"/>
    <w:rsid w:val="00654889"/>
    <w:rsid w:val="00672F34"/>
    <w:rsid w:val="00673F45"/>
    <w:rsid w:val="006822C5"/>
    <w:rsid w:val="006D1E97"/>
    <w:rsid w:val="006E1AF3"/>
    <w:rsid w:val="006F74BB"/>
    <w:rsid w:val="0070082B"/>
    <w:rsid w:val="00706936"/>
    <w:rsid w:val="00720717"/>
    <w:rsid w:val="00724D54"/>
    <w:rsid w:val="007558BA"/>
    <w:rsid w:val="0076438A"/>
    <w:rsid w:val="00805933"/>
    <w:rsid w:val="008162D3"/>
    <w:rsid w:val="00816C63"/>
    <w:rsid w:val="00817B37"/>
    <w:rsid w:val="008821B0"/>
    <w:rsid w:val="0089779B"/>
    <w:rsid w:val="008B040D"/>
    <w:rsid w:val="008B4F4A"/>
    <w:rsid w:val="008B518F"/>
    <w:rsid w:val="008D3317"/>
    <w:rsid w:val="008F1B8F"/>
    <w:rsid w:val="00917942"/>
    <w:rsid w:val="00942B6E"/>
    <w:rsid w:val="009629E0"/>
    <w:rsid w:val="00983D04"/>
    <w:rsid w:val="009906B2"/>
    <w:rsid w:val="009C4F3A"/>
    <w:rsid w:val="009C6C1C"/>
    <w:rsid w:val="009D46EE"/>
    <w:rsid w:val="00A06899"/>
    <w:rsid w:val="00A25417"/>
    <w:rsid w:val="00A3420D"/>
    <w:rsid w:val="00A343B8"/>
    <w:rsid w:val="00A65E2A"/>
    <w:rsid w:val="00A75DBA"/>
    <w:rsid w:val="00AC329E"/>
    <w:rsid w:val="00AE1202"/>
    <w:rsid w:val="00AF2CA2"/>
    <w:rsid w:val="00AF560E"/>
    <w:rsid w:val="00B30559"/>
    <w:rsid w:val="00B44F7C"/>
    <w:rsid w:val="00B55FAE"/>
    <w:rsid w:val="00BA0477"/>
    <w:rsid w:val="00BA4F8F"/>
    <w:rsid w:val="00BB3240"/>
    <w:rsid w:val="00BE2073"/>
    <w:rsid w:val="00C01A22"/>
    <w:rsid w:val="00C4507C"/>
    <w:rsid w:val="00C9392D"/>
    <w:rsid w:val="00C94E80"/>
    <w:rsid w:val="00CA7520"/>
    <w:rsid w:val="00CD05AA"/>
    <w:rsid w:val="00CD241A"/>
    <w:rsid w:val="00CD639F"/>
    <w:rsid w:val="00D01D83"/>
    <w:rsid w:val="00D04339"/>
    <w:rsid w:val="00D250F2"/>
    <w:rsid w:val="00D44582"/>
    <w:rsid w:val="00D46BAE"/>
    <w:rsid w:val="00D533DA"/>
    <w:rsid w:val="00D95E60"/>
    <w:rsid w:val="00DB3448"/>
    <w:rsid w:val="00DF0268"/>
    <w:rsid w:val="00E07D87"/>
    <w:rsid w:val="00E11192"/>
    <w:rsid w:val="00E14CCD"/>
    <w:rsid w:val="00E37EA2"/>
    <w:rsid w:val="00E55E33"/>
    <w:rsid w:val="00E701D4"/>
    <w:rsid w:val="00E82662"/>
    <w:rsid w:val="00EA7E89"/>
    <w:rsid w:val="00EB0112"/>
    <w:rsid w:val="00EB1B8F"/>
    <w:rsid w:val="00EC4449"/>
    <w:rsid w:val="00EC77F4"/>
    <w:rsid w:val="00EF1253"/>
    <w:rsid w:val="00EF4768"/>
    <w:rsid w:val="00EF7A6E"/>
    <w:rsid w:val="00F06691"/>
    <w:rsid w:val="00F3128D"/>
    <w:rsid w:val="00F35E9B"/>
    <w:rsid w:val="00F46ACA"/>
    <w:rsid w:val="00F71D66"/>
    <w:rsid w:val="00FA0D21"/>
    <w:rsid w:val="00FC3AA0"/>
    <w:rsid w:val="00FE3FD7"/>
    <w:rsid w:val="00FE4CC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82B"/>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D250F2"/>
    <w:pPr>
      <w:keepNext/>
      <w:widowControl w:val="0"/>
      <w:jc w:val="center"/>
      <w:outlineLvl w:val="0"/>
    </w:pPr>
    <w:rPr>
      <w:rFonts w:cs="David"/>
      <w:b/>
      <w:bCs/>
      <w:i/>
      <w:iCs/>
      <w:kern w:val="32"/>
      <w:sz w:val="36"/>
      <w:szCs w:val="36"/>
    </w:rPr>
  </w:style>
  <w:style w:type="paragraph" w:styleId="2">
    <w:name w:val="heading 2"/>
    <w:basedOn w:val="a"/>
    <w:next w:val="a"/>
    <w:link w:val="20"/>
    <w:uiPriority w:val="9"/>
    <w:unhideWhenUsed/>
    <w:qFormat/>
    <w:rsid w:val="003160CA"/>
    <w:pPr>
      <w:keepNext/>
      <w:keepLines/>
      <w:pBdr>
        <w:bottom w:val="single" w:sz="4" w:space="1" w:color="auto"/>
      </w:pBdr>
      <w:spacing w:before="200" w:line="276" w:lineRule="auto"/>
      <w:outlineLvl w:val="1"/>
    </w:pPr>
    <w:rPr>
      <w:rFonts w:asciiTheme="minorBidi" w:eastAsiaTheme="majorEastAsia" w:hAnsiTheme="minorBidi" w:cstheme="minorBidi"/>
      <w:b/>
      <w:bCs/>
      <w:i/>
      <w:iCs/>
      <w:color w:val="AAC7AC" w:themeColor="accent1" w:themeTint="99"/>
      <w:sz w:val="32"/>
      <w:szCs w:val="32"/>
      <w:u w:val="doub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D250F2"/>
    <w:rPr>
      <w:rFonts w:ascii="Times New Roman" w:eastAsia="Times New Roman" w:hAnsi="Times New Roman" w:cs="David"/>
      <w:b/>
      <w:bCs/>
      <w:i/>
      <w:iCs/>
      <w:kern w:val="32"/>
      <w:sz w:val="36"/>
      <w:szCs w:val="36"/>
    </w:rPr>
  </w:style>
  <w:style w:type="character" w:customStyle="1" w:styleId="20">
    <w:name w:val="כותרת 2 תו"/>
    <w:basedOn w:val="a0"/>
    <w:link w:val="2"/>
    <w:uiPriority w:val="9"/>
    <w:rsid w:val="003160CA"/>
    <w:rPr>
      <w:rFonts w:asciiTheme="minorBidi" w:eastAsiaTheme="majorEastAsia" w:hAnsiTheme="minorBidi"/>
      <w:b/>
      <w:bCs/>
      <w:i/>
      <w:iCs/>
      <w:color w:val="AAC7AC" w:themeColor="accent1" w:themeTint="99"/>
      <w:sz w:val="32"/>
      <w:szCs w:val="32"/>
      <w:u w:val="double"/>
    </w:rPr>
  </w:style>
  <w:style w:type="paragraph" w:styleId="a3">
    <w:name w:val="Title"/>
    <w:basedOn w:val="a"/>
    <w:next w:val="a"/>
    <w:link w:val="a4"/>
    <w:uiPriority w:val="10"/>
    <w:qFormat/>
    <w:rsid w:val="003160CA"/>
    <w:pPr>
      <w:pBdr>
        <w:top w:val="single" w:sz="36" w:space="1" w:color="75A675" w:themeColor="accent2" w:themeShade="BF"/>
        <w:bottom w:val="single" w:sz="8" w:space="4" w:color="72A376" w:themeColor="accent1"/>
      </w:pBdr>
      <w:spacing w:after="300"/>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a4">
    <w:name w:val="תואר תו"/>
    <w:basedOn w:val="a0"/>
    <w:link w:val="a3"/>
    <w:uiPriority w:val="10"/>
    <w:rsid w:val="003160CA"/>
    <w:rPr>
      <w:rFonts w:asciiTheme="majorHAnsi" w:eastAsiaTheme="majorEastAsia" w:hAnsiTheme="majorHAnsi" w:cstheme="majorBidi"/>
      <w:color w:val="4D4F3F" w:themeColor="text2" w:themeShade="BF"/>
      <w:spacing w:val="5"/>
      <w:kern w:val="28"/>
      <w:sz w:val="52"/>
      <w:szCs w:val="52"/>
    </w:rPr>
  </w:style>
  <w:style w:type="paragraph" w:styleId="a5">
    <w:name w:val="No Spacing"/>
    <w:uiPriority w:val="1"/>
    <w:qFormat/>
    <w:rsid w:val="003160CA"/>
    <w:pPr>
      <w:bidi/>
      <w:spacing w:after="0" w:line="240" w:lineRule="auto"/>
    </w:pPr>
  </w:style>
  <w:style w:type="paragraph" w:styleId="a6">
    <w:name w:val="List Paragraph"/>
    <w:basedOn w:val="a"/>
    <w:uiPriority w:val="34"/>
    <w:qFormat/>
    <w:rsid w:val="003160CA"/>
    <w:pPr>
      <w:spacing w:after="200" w:line="276" w:lineRule="auto"/>
      <w:ind w:left="720"/>
      <w:contextualSpacing/>
    </w:pPr>
    <w:rPr>
      <w:rFonts w:asciiTheme="minorHAnsi" w:eastAsiaTheme="minorHAnsi" w:hAnsiTheme="minorHAnsi" w:cstheme="minorBidi"/>
      <w:sz w:val="22"/>
      <w:szCs w:val="22"/>
    </w:rPr>
  </w:style>
  <w:style w:type="character" w:styleId="a7">
    <w:name w:val="Intense Emphasis"/>
    <w:basedOn w:val="a0"/>
    <w:uiPriority w:val="21"/>
    <w:qFormat/>
    <w:rsid w:val="003160CA"/>
    <w:rPr>
      <w:b/>
      <w:bCs/>
      <w:i/>
      <w:iCs/>
      <w:color w:val="72A376" w:themeColor="accent1"/>
    </w:rPr>
  </w:style>
  <w:style w:type="character" w:styleId="a8">
    <w:name w:val="Subtle Reference"/>
    <w:basedOn w:val="a0"/>
    <w:uiPriority w:val="31"/>
    <w:qFormat/>
    <w:rsid w:val="003160CA"/>
    <w:rPr>
      <w:smallCaps/>
      <w:color w:val="B0CCB0" w:themeColor="accent2"/>
      <w:u w:val="single"/>
    </w:rPr>
  </w:style>
  <w:style w:type="character" w:styleId="a9">
    <w:name w:val="Book Title"/>
    <w:basedOn w:val="a0"/>
    <w:uiPriority w:val="33"/>
    <w:qFormat/>
    <w:rsid w:val="003160CA"/>
    <w:rPr>
      <w:b/>
      <w:bCs/>
      <w:smallCaps/>
      <w:spacing w:val="5"/>
    </w:rPr>
  </w:style>
  <w:style w:type="paragraph" w:styleId="aa">
    <w:name w:val="header"/>
    <w:basedOn w:val="a"/>
    <w:link w:val="ab"/>
    <w:uiPriority w:val="99"/>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b">
    <w:name w:val="כותרת עליונה תו"/>
    <w:basedOn w:val="a0"/>
    <w:link w:val="aa"/>
    <w:uiPriority w:val="99"/>
    <w:rsid w:val="0070082B"/>
  </w:style>
  <w:style w:type="paragraph" w:styleId="ac">
    <w:name w:val="footer"/>
    <w:basedOn w:val="a"/>
    <w:link w:val="ad"/>
    <w:uiPriority w:val="99"/>
    <w:unhideWhenUsed/>
    <w:rsid w:val="0070082B"/>
    <w:pPr>
      <w:tabs>
        <w:tab w:val="center" w:pos="4153"/>
        <w:tab w:val="right" w:pos="8306"/>
      </w:tabs>
    </w:pPr>
    <w:rPr>
      <w:rFonts w:asciiTheme="minorHAnsi" w:eastAsiaTheme="minorHAnsi" w:hAnsiTheme="minorHAnsi" w:cstheme="minorBidi"/>
      <w:sz w:val="22"/>
      <w:szCs w:val="22"/>
    </w:rPr>
  </w:style>
  <w:style w:type="character" w:customStyle="1" w:styleId="ad">
    <w:name w:val="כותרת תחתונה תו"/>
    <w:basedOn w:val="a0"/>
    <w:link w:val="ac"/>
    <w:uiPriority w:val="99"/>
    <w:rsid w:val="0070082B"/>
  </w:style>
  <w:style w:type="paragraph" w:styleId="ae">
    <w:name w:val="Balloon Text"/>
    <w:basedOn w:val="a"/>
    <w:link w:val="af"/>
    <w:uiPriority w:val="99"/>
    <w:semiHidden/>
    <w:unhideWhenUsed/>
    <w:rsid w:val="0070082B"/>
    <w:rPr>
      <w:rFonts w:ascii="Tahoma" w:eastAsiaTheme="minorHAnsi" w:hAnsi="Tahoma" w:cs="Tahoma"/>
      <w:sz w:val="16"/>
      <w:szCs w:val="16"/>
    </w:rPr>
  </w:style>
  <w:style w:type="character" w:customStyle="1" w:styleId="af">
    <w:name w:val="טקסט בלונים תו"/>
    <w:basedOn w:val="a0"/>
    <w:link w:val="ae"/>
    <w:uiPriority w:val="99"/>
    <w:semiHidden/>
    <w:rsid w:val="0070082B"/>
    <w:rPr>
      <w:rFonts w:ascii="Tahoma" w:hAnsi="Tahoma" w:cs="Tahoma"/>
      <w:sz w:val="16"/>
      <w:szCs w:val="16"/>
    </w:rPr>
  </w:style>
  <w:style w:type="character" w:customStyle="1" w:styleId="21">
    <w:name w:val="תו תו2"/>
    <w:basedOn w:val="a0"/>
    <w:uiPriority w:val="99"/>
    <w:rsid w:val="0070082B"/>
    <w:rPr>
      <w:b/>
      <w:bCs/>
      <w:i/>
      <w:iCs/>
      <w:sz w:val="26"/>
      <w:szCs w:val="26"/>
      <w:lang w:val="en-US" w:eastAsia="en-US" w:bidi="he-IL"/>
    </w:rPr>
  </w:style>
  <w:style w:type="character" w:styleId="af0">
    <w:name w:val="Placeholder Text"/>
    <w:basedOn w:val="a0"/>
    <w:uiPriority w:val="99"/>
    <w:semiHidden/>
    <w:rsid w:val="0070082B"/>
    <w:rPr>
      <w:color w:val="808080"/>
    </w:rPr>
  </w:style>
  <w:style w:type="paragraph" w:customStyle="1" w:styleId="-">
    <w:name w:val="כותרת מאמר-נטוי"/>
    <w:basedOn w:val="a"/>
    <w:uiPriority w:val="99"/>
    <w:rsid w:val="000412AA"/>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1">
    <w:name w:val="כותרת מאמר"/>
    <w:basedOn w:val="a"/>
    <w:uiPriority w:val="99"/>
    <w:rsid w:val="000412AA"/>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divs>
    <w:div w:id="8897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E%20D%20D%20I%20E\Doch%20Mevaker%2060b_45357\&#1492;&#1505;&#1508;&#1512;%20-%20&#1502;&#1506;&#1511;&#1489;&#1497;&#1501;%2060&#1489;\&#1493;&#1512;&#1491;\&#1492;&#1492;&#1497;&#1506;&#1512;&#1499;&#1493;&#1514;%20&#1500;&#1489;&#1495;&#1497;&#1512;&#1493;&#1514;%20&#1500;&#1499;&#1504;&#1505;&#1514;%20&#1492;-18%20&#1493;&#1504;&#1497;&#1492;&#1493;&#1500;&#1503;.dotx" TargetMode="External"/></Relationships>
</file>

<file path=word/theme/theme1.xml><?xml version="1.0" encoding="utf-8"?>
<a:theme xmlns:a="http://schemas.openxmlformats.org/drawingml/2006/main" name="ערכת נושא Office">
  <a:themeElements>
    <a:clrScheme name="בית יציקה">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C792C-5315-45ED-A972-DE395465A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ההיערכות לבחירות לכנסת ה-18 וניהולן.dotx</Template>
  <TotalTime>4</TotalTime>
  <Pages>3</Pages>
  <Words>836</Words>
  <Characters>4180</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AMD1</dc:creator>
  <cp:keywords/>
  <dc:description/>
  <cp:lastModifiedBy>AMD1</cp:lastModifiedBy>
  <cp:revision>1</cp:revision>
  <cp:lastPrinted>2010-10-14T07:16:00Z</cp:lastPrinted>
  <dcterms:created xsi:type="dcterms:W3CDTF">2010-12-12T10:49:00Z</dcterms:created>
  <dcterms:modified xsi:type="dcterms:W3CDTF">2010-12-12T10:53:00Z</dcterms:modified>
</cp:coreProperties>
</file>