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F6B" w:rsidRDefault="00F50F6B" w:rsidP="00F50F6B">
      <w:pPr>
        <w:bidi/>
        <w:ind w:left="4025"/>
        <w:jc w:val="both"/>
        <w:rPr>
          <w:rFonts w:ascii="Courier New" w:hAnsi="Courier New" w:cs="Rod Transparent" w:hint="cs"/>
          <w:spacing w:val="-20"/>
          <w:sz w:val="22"/>
          <w:szCs w:val="22"/>
          <w:rtl/>
          <w:lang w:val="en-GB"/>
        </w:rPr>
      </w:pPr>
    </w:p>
    <w:p w:rsidR="00707DED" w:rsidRDefault="00707DED" w:rsidP="00707DED">
      <w:pPr>
        <w:pStyle w:val="-"/>
        <w:rPr>
          <w:rtl/>
        </w:rPr>
      </w:pPr>
      <w:r>
        <w:rPr>
          <w:rFonts w:hint="cs"/>
          <w:rtl/>
        </w:rPr>
        <w:t>הקצאת מענקי איזון לרשויות המקומיות - מעקב אחר ביצוע החלטת הממשלה מס' 2899</w:t>
      </w:r>
      <w:r>
        <w:rPr>
          <w:rtl/>
        </w:rPr>
        <w:br/>
      </w:r>
      <w:r>
        <w:rPr>
          <w:rFonts w:hint="cs"/>
          <w:rtl/>
        </w:rPr>
        <w:t>מיום 6.1.2008</w:t>
      </w:r>
    </w:p>
    <w:p w:rsidR="00707DED" w:rsidRDefault="00707DED" w:rsidP="00707DED">
      <w:pPr>
        <w:pStyle w:val="a9"/>
        <w:rPr>
          <w:rtl/>
        </w:rPr>
      </w:pPr>
      <w:r>
        <w:rPr>
          <w:rFonts w:hint="cs"/>
          <w:rtl/>
        </w:rPr>
        <w:t>החלטה מספר בק/56 מיום 11.8.2008</w:t>
      </w:r>
    </w:p>
    <w:p w:rsidR="00707DED" w:rsidRDefault="00707DED" w:rsidP="00707DED">
      <w:pPr>
        <w:pStyle w:val="aa"/>
        <w:rPr>
          <w:sz w:val="18"/>
          <w:szCs w:val="18"/>
          <w:rtl/>
        </w:rPr>
      </w:pPr>
      <w:r>
        <w:rPr>
          <w:rFonts w:hint="cs"/>
          <w:rtl/>
        </w:rPr>
        <w:t>מחליטים</w:t>
      </w:r>
      <w:r>
        <w:rPr>
          <w:rFonts w:hint="cs"/>
          <w:sz w:val="18"/>
          <w:szCs w:val="18"/>
          <w:rtl/>
        </w:rPr>
        <w:t>:</w:t>
      </w:r>
    </w:p>
    <w:p w:rsidR="00707DED" w:rsidRDefault="00707DED" w:rsidP="00707DED">
      <w:pPr>
        <w:pStyle w:val="ab"/>
        <w:rPr>
          <w:rtl/>
        </w:rPr>
      </w:pPr>
      <w:r>
        <w:rPr>
          <w:rFonts w:hint="cs"/>
          <w:rtl/>
        </w:rPr>
        <w:t xml:space="preserve">יושב ראש ועדת השרים, השר עמי </w:t>
      </w:r>
      <w:proofErr w:type="spellStart"/>
      <w:r>
        <w:rPr>
          <w:rFonts w:hint="cs"/>
          <w:rtl/>
        </w:rPr>
        <w:t>אילון</w:t>
      </w:r>
      <w:proofErr w:type="spellEnd"/>
      <w:r>
        <w:rPr>
          <w:rFonts w:hint="cs"/>
          <w:rtl/>
        </w:rPr>
        <w:t>, מסכם:</w:t>
      </w:r>
    </w:p>
    <w:p w:rsidR="00707DED" w:rsidRDefault="00707DED" w:rsidP="00707DED">
      <w:pPr>
        <w:pStyle w:val="ab"/>
        <w:rPr>
          <w:rtl/>
        </w:rPr>
      </w:pPr>
      <w:r>
        <w:rPr>
          <w:rFonts w:hint="cs"/>
          <w:rtl/>
        </w:rPr>
        <w:t xml:space="preserve">ראוי כי הוועדה בראשות </w:t>
      </w:r>
      <w:proofErr w:type="spellStart"/>
      <w:r>
        <w:rPr>
          <w:rFonts w:hint="cs"/>
          <w:rtl/>
        </w:rPr>
        <w:t>פרופ</w:t>
      </w:r>
      <w:proofErr w:type="spellEnd"/>
      <w:r>
        <w:rPr>
          <w:rFonts w:hint="cs"/>
          <w:rtl/>
        </w:rPr>
        <w:t xml:space="preserve">' </w:t>
      </w:r>
      <w:proofErr w:type="spellStart"/>
      <w:r>
        <w:rPr>
          <w:rFonts w:hint="cs"/>
          <w:rtl/>
        </w:rPr>
        <w:t>שינין</w:t>
      </w:r>
      <w:proofErr w:type="spellEnd"/>
      <w:r>
        <w:rPr>
          <w:rFonts w:hint="cs"/>
          <w:rtl/>
        </w:rPr>
        <w:t xml:space="preserve"> תבחן הבטחת אספקת סל שירותים מוניציפאליים ראוי לתושבים. מוסיף כי חש אי נוחות מסירוב משרד האוצר להשתתף בוועדה. מציין כי ראוי לקיים דיון בהמלצות הוועדה במליאת הממשלה עוד בשנה זו במגמה להטמיע חלק מהמלצותיה כבר בתקציב 2009. מנחה לקיים דיון בוועדת השרים לביקורת המדינה בהמלצות הוועדה או בדו"ח ביניים מטעמה, בסמוך להגשתם." </w:t>
      </w:r>
    </w:p>
    <w:p w:rsidR="00707DED" w:rsidRDefault="00707DED" w:rsidP="00707DED">
      <w:pPr>
        <w:pStyle w:val="aa"/>
        <w:rPr>
          <w:rtl/>
        </w:rPr>
      </w:pPr>
      <w:r>
        <w:rPr>
          <w:rFonts w:hint="cs"/>
          <w:rtl/>
        </w:rPr>
        <w:t>ביצוע ההחלטה</w:t>
      </w:r>
    </w:p>
    <w:p w:rsidR="00707DED" w:rsidRDefault="00707DED" w:rsidP="00707DED">
      <w:pPr>
        <w:pStyle w:val="ac"/>
        <w:rPr>
          <w:rtl/>
        </w:rPr>
      </w:pPr>
      <w:r>
        <w:rPr>
          <w:rFonts w:hint="cs"/>
          <w:rtl/>
        </w:rPr>
        <w:t>משרד הפנים</w:t>
      </w:r>
    </w:p>
    <w:p w:rsidR="00707DED" w:rsidRDefault="00707DED" w:rsidP="00707DED">
      <w:pPr>
        <w:pStyle w:val="ab"/>
        <w:rPr>
          <w:rtl/>
        </w:rPr>
      </w:pPr>
      <w:r>
        <w:rPr>
          <w:rFonts w:hint="cs"/>
          <w:rtl/>
        </w:rPr>
        <w:t xml:space="preserve">מאחר שלא עלה בידי ועדת </w:t>
      </w:r>
      <w:proofErr w:type="spellStart"/>
      <w:r>
        <w:rPr>
          <w:rFonts w:hint="cs"/>
          <w:rtl/>
        </w:rPr>
        <w:t>שיינין</w:t>
      </w:r>
      <w:proofErr w:type="spellEnd"/>
      <w:r>
        <w:rPr>
          <w:rFonts w:hint="cs"/>
          <w:rtl/>
        </w:rPr>
        <w:t xml:space="preserve"> לגבש המלצות וסיכומים באשר לנוסחה חדשה להקצאת מענקי האיזון לרשויות, פנה יו"ר ועדת הכספים של הכנסת, ח"כ משה גפני אל </w:t>
      </w:r>
      <w:proofErr w:type="spellStart"/>
      <w:r>
        <w:rPr>
          <w:rFonts w:hint="cs"/>
          <w:rtl/>
        </w:rPr>
        <w:t>מנכ"לי</w:t>
      </w:r>
      <w:proofErr w:type="spellEnd"/>
      <w:r>
        <w:rPr>
          <w:rFonts w:hint="cs"/>
          <w:rtl/>
        </w:rPr>
        <w:t xml:space="preserve"> משרדי הפנים והאוצר ויו"ר מרכז השלטון המקומי והודיע להם על החלטת ועדת הכספים של הכנסת להקים צוות היגוי בנושא גובה מענקי האיזון ברשויות המקומיות. בצוות זה חברים שלושה נציגים מוועדת הכספים, שלושה ממשרד האוצר, שלושה נציגים מהמרכז לשלטון מקומי ושלושה נציגים ממשרד הפנים כולל מנכ"ל המשרד, גבריאל מימון, מנהל המינהל לשלטון מקומי, מר </w:t>
      </w:r>
      <w:proofErr w:type="spellStart"/>
      <w:r>
        <w:rPr>
          <w:rFonts w:hint="cs"/>
          <w:rtl/>
        </w:rPr>
        <w:t>רני</w:t>
      </w:r>
      <w:proofErr w:type="spellEnd"/>
      <w:r>
        <w:rPr>
          <w:rFonts w:hint="cs"/>
          <w:rtl/>
        </w:rPr>
        <w:t xml:space="preserve"> </w:t>
      </w:r>
      <w:proofErr w:type="spellStart"/>
      <w:r>
        <w:rPr>
          <w:rFonts w:hint="cs"/>
          <w:rtl/>
        </w:rPr>
        <w:t>פינצי</w:t>
      </w:r>
      <w:proofErr w:type="spellEnd"/>
      <w:r>
        <w:rPr>
          <w:rFonts w:hint="cs"/>
          <w:rtl/>
        </w:rPr>
        <w:t xml:space="preserve"> ומשנה למנכ"ל, ד"ר שוקי </w:t>
      </w:r>
      <w:proofErr w:type="spellStart"/>
      <w:r>
        <w:rPr>
          <w:rFonts w:hint="cs"/>
          <w:rtl/>
        </w:rPr>
        <w:t>אמרני</w:t>
      </w:r>
      <w:proofErr w:type="spellEnd"/>
      <w:r>
        <w:rPr>
          <w:rFonts w:hint="cs"/>
          <w:rtl/>
        </w:rPr>
        <w:t>.</w:t>
      </w:r>
    </w:p>
    <w:p w:rsidR="00F50F6B" w:rsidRPr="00F50F6B" w:rsidRDefault="00F50F6B" w:rsidP="0071765C">
      <w:pPr>
        <w:bidi/>
        <w:jc w:val="both"/>
        <w:rPr>
          <w:rFonts w:cs="David"/>
          <w:sz w:val="24"/>
          <w:szCs w:val="24"/>
          <w:rtl/>
        </w:rPr>
      </w:pPr>
    </w:p>
    <w:sectPr w:rsidR="00F50F6B" w:rsidRPr="00F50F6B" w:rsidSect="003724E5">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65C" w:rsidRDefault="0071765C" w:rsidP="0071765C">
      <w:r>
        <w:separator/>
      </w:r>
    </w:p>
  </w:endnote>
  <w:endnote w:type="continuationSeparator" w:id="1">
    <w:p w:rsidR="0071765C" w:rsidRDefault="0071765C" w:rsidP="007176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Rod Transparent">
    <w:panose1 w:val="00000009000000000000"/>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65C" w:rsidRDefault="0071765C" w:rsidP="0071765C">
      <w:r>
        <w:separator/>
      </w:r>
    </w:p>
  </w:footnote>
  <w:footnote w:type="continuationSeparator" w:id="1">
    <w:p w:rsidR="0071765C" w:rsidRDefault="0071765C" w:rsidP="007176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65C" w:rsidRPr="00FF7E65" w:rsidRDefault="00800548" w:rsidP="0071765C">
    <w:pPr>
      <w:pStyle w:val="a3"/>
      <w:jc w:val="right"/>
      <w:rPr>
        <w:rFonts w:cs="David"/>
        <w:sz w:val="18"/>
        <w:szCs w:val="18"/>
        <w:rtl/>
      </w:rPr>
    </w:pPr>
    <w:r w:rsidRPr="00FF7E65">
      <w:rPr>
        <w:rFonts w:cs="David"/>
        <w:sz w:val="18"/>
        <w:szCs w:val="18"/>
        <w:rtl/>
      </w:rPr>
      <w:fldChar w:fldCharType="begin"/>
    </w:r>
    <w:r w:rsidR="0071765C" w:rsidRPr="00FF7E65">
      <w:rPr>
        <w:rFonts w:cs="David"/>
        <w:sz w:val="18"/>
        <w:szCs w:val="18"/>
        <w:rtl/>
      </w:rPr>
      <w:instrText xml:space="preserve"> </w:instrText>
    </w:r>
    <w:r w:rsidR="0071765C" w:rsidRPr="00FF7E65">
      <w:rPr>
        <w:rFonts w:cs="David" w:hint="cs"/>
        <w:sz w:val="18"/>
        <w:szCs w:val="18"/>
      </w:rPr>
      <w:instrText>TIME  \@ "HH:mm"  \* MERGEFORMAT</w:instrText>
    </w:r>
    <w:r w:rsidR="0071765C" w:rsidRPr="00FF7E65">
      <w:rPr>
        <w:rFonts w:cs="David"/>
        <w:sz w:val="18"/>
        <w:szCs w:val="18"/>
        <w:rtl/>
      </w:rPr>
      <w:instrText xml:space="preserve"> </w:instrText>
    </w:r>
    <w:r w:rsidRPr="00FF7E65">
      <w:rPr>
        <w:rFonts w:cs="David"/>
        <w:sz w:val="18"/>
        <w:szCs w:val="18"/>
        <w:rtl/>
      </w:rPr>
      <w:fldChar w:fldCharType="separate"/>
    </w:r>
    <w:r w:rsidR="00707DED">
      <w:rPr>
        <w:rFonts w:cs="David" w:hint="cs"/>
        <w:noProof/>
        <w:sz w:val="18"/>
        <w:szCs w:val="18"/>
        <w:rtl/>
      </w:rPr>
      <w:t>‏</w:t>
    </w:r>
    <w:r w:rsidR="00707DED">
      <w:rPr>
        <w:rFonts w:cs="David"/>
        <w:noProof/>
        <w:sz w:val="18"/>
        <w:szCs w:val="18"/>
        <w:rtl/>
      </w:rPr>
      <w:t>17:58</w:t>
    </w:r>
    <w:r w:rsidRPr="00FF7E65">
      <w:rPr>
        <w:rFonts w:cs="David"/>
        <w:sz w:val="18"/>
        <w:szCs w:val="18"/>
        <w:rtl/>
      </w:rPr>
      <w:fldChar w:fldCharType="end"/>
    </w:r>
    <w:r w:rsidR="0071765C" w:rsidRPr="00FF7E65">
      <w:rPr>
        <w:rFonts w:cs="David" w:hint="cs"/>
        <w:sz w:val="18"/>
        <w:szCs w:val="18"/>
        <w:rtl/>
      </w:rPr>
      <w:t xml:space="preserve">  </w:t>
    </w:r>
    <w:r w:rsidRPr="00FF7E65">
      <w:rPr>
        <w:rFonts w:cs="David"/>
        <w:sz w:val="18"/>
        <w:szCs w:val="18"/>
        <w:rtl/>
      </w:rPr>
      <w:fldChar w:fldCharType="begin"/>
    </w:r>
    <w:r w:rsidR="0071765C" w:rsidRPr="00FF7E65">
      <w:rPr>
        <w:rFonts w:cs="David"/>
        <w:sz w:val="18"/>
        <w:szCs w:val="18"/>
        <w:rtl/>
      </w:rPr>
      <w:instrText xml:space="preserve"> </w:instrText>
    </w:r>
    <w:r w:rsidR="0071765C" w:rsidRPr="00FF7E65">
      <w:rPr>
        <w:rFonts w:cs="David" w:hint="cs"/>
        <w:sz w:val="18"/>
        <w:szCs w:val="18"/>
      </w:rPr>
      <w:instrText>DATE  \@ "yyyy-MM-dd"  \* MERGEFORMAT</w:instrText>
    </w:r>
    <w:r w:rsidR="0071765C" w:rsidRPr="00FF7E65">
      <w:rPr>
        <w:rFonts w:cs="David"/>
        <w:sz w:val="18"/>
        <w:szCs w:val="18"/>
        <w:rtl/>
      </w:rPr>
      <w:instrText xml:space="preserve"> </w:instrText>
    </w:r>
    <w:r w:rsidRPr="00FF7E65">
      <w:rPr>
        <w:rFonts w:cs="David"/>
        <w:sz w:val="18"/>
        <w:szCs w:val="18"/>
        <w:rtl/>
      </w:rPr>
      <w:fldChar w:fldCharType="separate"/>
    </w:r>
    <w:r w:rsidR="00707DED">
      <w:rPr>
        <w:rFonts w:cs="David" w:hint="cs"/>
        <w:noProof/>
        <w:sz w:val="18"/>
        <w:szCs w:val="18"/>
        <w:rtl/>
      </w:rPr>
      <w:t>‏</w:t>
    </w:r>
    <w:r w:rsidR="00707DED">
      <w:rPr>
        <w:rFonts w:cs="David"/>
        <w:noProof/>
        <w:sz w:val="18"/>
        <w:szCs w:val="18"/>
        <w:rtl/>
      </w:rPr>
      <w:t>2010–12–09</w:t>
    </w:r>
    <w:r w:rsidRPr="00FF7E65">
      <w:rPr>
        <w:rFonts w:cs="David"/>
        <w:sz w:val="18"/>
        <w:szCs w:val="18"/>
        <w:rtl/>
      </w:rPr>
      <w:fldChar w:fldCharType="end"/>
    </w:r>
    <w:r w:rsidR="0071765C" w:rsidRPr="00FF7E65">
      <w:rPr>
        <w:rFonts w:hint="cs"/>
        <w:sz w:val="18"/>
        <w:szCs w:val="18"/>
        <w:rtl/>
      </w:rPr>
      <w:t xml:space="preserve">   </w:t>
    </w:r>
    <w:fldSimple w:instr=" FILENAME  \* FirstCap \p  \* MERGEFORMAT ">
      <w:r w:rsidR="00FF7E65">
        <w:rPr>
          <w:noProof/>
          <w:sz w:val="18"/>
          <w:szCs w:val="18"/>
        </w:rPr>
        <w:t>L:\</w:t>
      </w:r>
      <w:r w:rsidR="00FF7E65">
        <w:rPr>
          <w:rFonts w:hint="cs"/>
          <w:noProof/>
          <w:sz w:val="18"/>
          <w:szCs w:val="18"/>
          <w:rtl/>
        </w:rPr>
        <w:t>הספר</w:t>
      </w:r>
      <w:r w:rsidR="00FF7E65">
        <w:rPr>
          <w:noProof/>
          <w:sz w:val="18"/>
          <w:szCs w:val="18"/>
          <w:rtl/>
        </w:rPr>
        <w:t xml:space="preserve"> - </w:t>
      </w:r>
      <w:r w:rsidR="00FF7E65">
        <w:rPr>
          <w:rFonts w:hint="cs"/>
          <w:noProof/>
          <w:sz w:val="18"/>
          <w:szCs w:val="18"/>
          <w:rtl/>
        </w:rPr>
        <w:t>מעקבים</w:t>
      </w:r>
      <w:r w:rsidR="00FF7E65">
        <w:rPr>
          <w:noProof/>
          <w:sz w:val="18"/>
          <w:szCs w:val="18"/>
          <w:rtl/>
        </w:rPr>
        <w:t xml:space="preserve"> 60</w:t>
      </w:r>
      <w:r w:rsidR="00FF7E65">
        <w:rPr>
          <w:rFonts w:hint="cs"/>
          <w:noProof/>
          <w:sz w:val="18"/>
          <w:szCs w:val="18"/>
          <w:rtl/>
        </w:rPr>
        <w:t>ב</w:t>
      </w:r>
      <w:r w:rsidR="00FF7E65">
        <w:rPr>
          <w:noProof/>
          <w:sz w:val="18"/>
          <w:szCs w:val="18"/>
          <w:rtl/>
        </w:rPr>
        <w:t>\</w:t>
      </w:r>
      <w:r w:rsidR="00FF7E65">
        <w:rPr>
          <w:rFonts w:hint="cs"/>
          <w:noProof/>
          <w:sz w:val="18"/>
          <w:szCs w:val="18"/>
          <w:rtl/>
        </w:rPr>
        <w:t>ורד</w:t>
      </w:r>
      <w:r w:rsidR="00FF7E65">
        <w:rPr>
          <w:noProof/>
          <w:sz w:val="18"/>
          <w:szCs w:val="18"/>
          <w:rtl/>
        </w:rPr>
        <w:t>\</w:t>
      </w:r>
      <w:r w:rsidR="00FF7E65">
        <w:rPr>
          <w:rFonts w:hint="cs"/>
          <w:noProof/>
          <w:sz w:val="18"/>
          <w:szCs w:val="18"/>
          <w:rtl/>
        </w:rPr>
        <w:t>ועדות</w:t>
      </w:r>
      <w:r w:rsidR="00FF7E65">
        <w:rPr>
          <w:noProof/>
          <w:sz w:val="18"/>
          <w:szCs w:val="18"/>
          <w:rtl/>
        </w:rPr>
        <w:t xml:space="preserve"> </w:t>
      </w:r>
      <w:r w:rsidR="00FF7E65">
        <w:rPr>
          <w:rFonts w:hint="cs"/>
          <w:noProof/>
          <w:sz w:val="18"/>
          <w:szCs w:val="18"/>
          <w:rtl/>
        </w:rPr>
        <w:t>שרים</w:t>
      </w:r>
      <w:r w:rsidR="00FF7E65">
        <w:rPr>
          <w:noProof/>
          <w:sz w:val="18"/>
          <w:szCs w:val="18"/>
          <w:rtl/>
        </w:rPr>
        <w:t>\</w:t>
      </w:r>
      <w:r w:rsidR="00FF7E65">
        <w:rPr>
          <w:rFonts w:hint="cs"/>
          <w:noProof/>
          <w:sz w:val="18"/>
          <w:szCs w:val="18"/>
          <w:rtl/>
        </w:rPr>
        <w:t>הקצאת</w:t>
      </w:r>
      <w:r w:rsidR="00FF7E65">
        <w:rPr>
          <w:noProof/>
          <w:sz w:val="18"/>
          <w:szCs w:val="18"/>
          <w:rtl/>
        </w:rPr>
        <w:t xml:space="preserve"> </w:t>
      </w:r>
      <w:r w:rsidR="00FF7E65">
        <w:rPr>
          <w:rFonts w:hint="cs"/>
          <w:noProof/>
          <w:sz w:val="18"/>
          <w:szCs w:val="18"/>
          <w:rtl/>
        </w:rPr>
        <w:t>מענקי</w:t>
      </w:r>
      <w:r w:rsidR="00FF7E65">
        <w:rPr>
          <w:noProof/>
          <w:sz w:val="18"/>
          <w:szCs w:val="18"/>
          <w:rtl/>
        </w:rPr>
        <w:t xml:space="preserve"> </w:t>
      </w:r>
      <w:r w:rsidR="00FF7E65">
        <w:rPr>
          <w:rFonts w:hint="cs"/>
          <w:noProof/>
          <w:sz w:val="18"/>
          <w:szCs w:val="18"/>
          <w:rtl/>
        </w:rPr>
        <w:t>איזון</w:t>
      </w:r>
      <w:r w:rsidR="00FF7E65">
        <w:rPr>
          <w:noProof/>
          <w:sz w:val="18"/>
          <w:szCs w:val="18"/>
          <w:rtl/>
        </w:rPr>
        <w:t xml:space="preserve"> </w:t>
      </w:r>
      <w:r w:rsidR="00FF7E65">
        <w:rPr>
          <w:rFonts w:hint="cs"/>
          <w:noProof/>
          <w:sz w:val="18"/>
          <w:szCs w:val="18"/>
          <w:rtl/>
        </w:rPr>
        <w:t>לרשויות</w:t>
      </w:r>
      <w:r w:rsidR="00FF7E65">
        <w:rPr>
          <w:noProof/>
          <w:sz w:val="18"/>
          <w:szCs w:val="18"/>
          <w:rtl/>
        </w:rPr>
        <w:t xml:space="preserve"> </w:t>
      </w:r>
      <w:r w:rsidR="00FF7E65">
        <w:rPr>
          <w:rFonts w:hint="cs"/>
          <w:noProof/>
          <w:sz w:val="18"/>
          <w:szCs w:val="18"/>
          <w:rtl/>
        </w:rPr>
        <w:t>המקומיות</w:t>
      </w:r>
      <w:r w:rsidR="00FF7E65">
        <w:rPr>
          <w:noProof/>
          <w:sz w:val="18"/>
          <w:szCs w:val="18"/>
          <w:rtl/>
        </w:rPr>
        <w:t xml:space="preserve"> </w:t>
      </w:r>
      <w:r w:rsidR="00FF7E65">
        <w:rPr>
          <w:rFonts w:hint="cs"/>
          <w:noProof/>
          <w:sz w:val="18"/>
          <w:szCs w:val="18"/>
          <w:rtl/>
        </w:rPr>
        <w:t>בק</w:t>
      </w:r>
      <w:r w:rsidR="00FF7E65">
        <w:rPr>
          <w:noProof/>
          <w:sz w:val="18"/>
          <w:szCs w:val="18"/>
          <w:rtl/>
        </w:rPr>
        <w:t>56</w:t>
      </w:r>
      <w:r w:rsidR="00FF7E65">
        <w:rPr>
          <w:noProof/>
          <w:sz w:val="18"/>
          <w:szCs w:val="18"/>
        </w:rPr>
        <w:t>.docx</w:t>
      </w:r>
    </w:fldSimple>
    <w:r w:rsidR="0071765C" w:rsidRPr="00FF7E65">
      <w:rPr>
        <w:rFonts w:hint="cs"/>
        <w:sz w:val="18"/>
        <w:szCs w:val="18"/>
        <w:rtl/>
      </w:rPr>
      <w:t xml:space="preserve">    </w:t>
    </w:r>
    <w:r w:rsidR="0071765C" w:rsidRPr="00FF7E65">
      <w:rPr>
        <w:rFonts w:cs="David" w:hint="cs"/>
        <w:sz w:val="18"/>
        <w:szCs w:val="18"/>
        <w:rtl/>
      </w:rPr>
      <w:t>-</w:t>
    </w:r>
    <w:r w:rsidRPr="00FF7E65">
      <w:rPr>
        <w:rFonts w:cs="David"/>
        <w:sz w:val="18"/>
        <w:szCs w:val="18"/>
        <w:rtl/>
      </w:rPr>
      <w:fldChar w:fldCharType="begin"/>
    </w:r>
    <w:r w:rsidR="0071765C" w:rsidRPr="00FF7E65">
      <w:rPr>
        <w:rFonts w:cs="David"/>
        <w:sz w:val="18"/>
        <w:szCs w:val="18"/>
        <w:rtl/>
      </w:rPr>
      <w:instrText xml:space="preserve"> </w:instrText>
    </w:r>
    <w:r w:rsidR="0071765C" w:rsidRPr="00FF7E65">
      <w:rPr>
        <w:rFonts w:cs="David"/>
        <w:sz w:val="18"/>
        <w:szCs w:val="18"/>
      </w:rPr>
      <w:instrText>PAGE   \* MERGEFORMAT</w:instrText>
    </w:r>
    <w:r w:rsidR="0071765C" w:rsidRPr="00FF7E65">
      <w:rPr>
        <w:rFonts w:cs="David"/>
        <w:sz w:val="18"/>
        <w:szCs w:val="18"/>
        <w:rtl/>
      </w:rPr>
      <w:instrText xml:space="preserve"> </w:instrText>
    </w:r>
    <w:r w:rsidRPr="00FF7E65">
      <w:rPr>
        <w:rFonts w:cs="David"/>
        <w:sz w:val="18"/>
        <w:szCs w:val="18"/>
        <w:rtl/>
      </w:rPr>
      <w:fldChar w:fldCharType="separate"/>
    </w:r>
    <w:r w:rsidR="00707DED">
      <w:rPr>
        <w:rFonts w:cs="David"/>
        <w:noProof/>
        <w:sz w:val="18"/>
        <w:szCs w:val="18"/>
        <w:rtl/>
      </w:rPr>
      <w:t>1</w:t>
    </w:r>
    <w:r w:rsidRPr="00FF7E65">
      <w:rPr>
        <w:rFonts w:cs="David"/>
        <w:sz w:val="18"/>
        <w:szCs w:val="18"/>
        <w:rtl/>
      </w:rPr>
      <w:fldChar w:fldCharType="end"/>
    </w:r>
    <w:r w:rsidR="0071765C" w:rsidRPr="00FF7E65">
      <w:rPr>
        <w:rFonts w:cs="David" w:hint="cs"/>
        <w:sz w:val="18"/>
        <w:szCs w:val="18"/>
        <w:rtl/>
      </w:rPr>
      <w:t>-</w:t>
    </w:r>
  </w:p>
  <w:p w:rsidR="0071765C" w:rsidRDefault="0071765C" w:rsidP="0071765C">
    <w:pPr>
      <w:pStyle w:val="a3"/>
      <w:jc w:val="both"/>
      <w:rPr>
        <w:rFonts w:cs="David"/>
        <w:sz w:val="18"/>
        <w:szCs w:val="18"/>
        <w:u w:val="single"/>
        <w:rtl/>
      </w:rPr>
    </w:pPr>
  </w:p>
  <w:p w:rsidR="0071765C" w:rsidRPr="00CA4F95" w:rsidRDefault="0071765C" w:rsidP="0071765C">
    <w:pPr>
      <w:pStyle w:val="a3"/>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A4F95">
      <w:rPr>
        <w:rFonts w:cs="David" w:hint="cs"/>
        <w:sz w:val="18"/>
        <w:szCs w:val="18"/>
        <w:u w:val="single"/>
        <w:rtl/>
      </w:rPr>
      <w:t xml:space="preserve">                            החלטות ועדת שרים</w:t>
    </w:r>
  </w:p>
  <w:p w:rsidR="0071765C" w:rsidRDefault="0071765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0F6B"/>
    <w:rsid w:val="000A1704"/>
    <w:rsid w:val="001A6FE8"/>
    <w:rsid w:val="001C10DE"/>
    <w:rsid w:val="003724E5"/>
    <w:rsid w:val="004269D5"/>
    <w:rsid w:val="004C464E"/>
    <w:rsid w:val="005C4141"/>
    <w:rsid w:val="006C05CB"/>
    <w:rsid w:val="00707DED"/>
    <w:rsid w:val="0071765C"/>
    <w:rsid w:val="00785288"/>
    <w:rsid w:val="00800548"/>
    <w:rsid w:val="008847E8"/>
    <w:rsid w:val="009F0F7A"/>
    <w:rsid w:val="00C515DC"/>
    <w:rsid w:val="00CA396B"/>
    <w:rsid w:val="00D07167"/>
    <w:rsid w:val="00D837B5"/>
    <w:rsid w:val="00E47108"/>
    <w:rsid w:val="00E654A7"/>
    <w:rsid w:val="00F50F6B"/>
    <w:rsid w:val="00FF7E6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F6B"/>
    <w:pPr>
      <w:autoSpaceDE w:val="0"/>
      <w:autoSpaceDN w:val="0"/>
      <w:adjustRightInd w:val="0"/>
      <w:spacing w:after="0"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F0F7A"/>
    <w:pPr>
      <w:tabs>
        <w:tab w:val="center" w:pos="4153"/>
        <w:tab w:val="right" w:pos="8306"/>
      </w:tabs>
      <w:autoSpaceDE/>
      <w:autoSpaceDN/>
      <w:bidi/>
      <w:adjustRightInd/>
    </w:pPr>
    <w:rPr>
      <w:rFonts w:asciiTheme="minorHAnsi" w:eastAsiaTheme="minorHAnsi" w:hAnsiTheme="minorHAnsi" w:cstheme="minorBidi"/>
      <w:sz w:val="22"/>
      <w:szCs w:val="22"/>
    </w:rPr>
  </w:style>
  <w:style w:type="character" w:customStyle="1" w:styleId="a4">
    <w:name w:val="כותרת עליונה תו"/>
    <w:basedOn w:val="a0"/>
    <w:link w:val="a3"/>
    <w:rsid w:val="009F0F7A"/>
  </w:style>
  <w:style w:type="paragraph" w:styleId="a5">
    <w:name w:val="Balloon Text"/>
    <w:basedOn w:val="a"/>
    <w:link w:val="a6"/>
    <w:uiPriority w:val="99"/>
    <w:semiHidden/>
    <w:unhideWhenUsed/>
    <w:rsid w:val="009F0F7A"/>
    <w:rPr>
      <w:rFonts w:ascii="Tahoma" w:hAnsi="Tahoma" w:cs="Tahoma"/>
      <w:sz w:val="16"/>
      <w:szCs w:val="16"/>
    </w:rPr>
  </w:style>
  <w:style w:type="character" w:customStyle="1" w:styleId="a6">
    <w:name w:val="טקסט בלונים תו"/>
    <w:basedOn w:val="a0"/>
    <w:link w:val="a5"/>
    <w:uiPriority w:val="99"/>
    <w:semiHidden/>
    <w:rsid w:val="009F0F7A"/>
    <w:rPr>
      <w:rFonts w:ascii="Tahoma" w:eastAsia="Times New Roman" w:hAnsi="Tahoma" w:cs="Tahoma"/>
      <w:sz w:val="16"/>
      <w:szCs w:val="16"/>
    </w:rPr>
  </w:style>
  <w:style w:type="paragraph" w:styleId="a7">
    <w:name w:val="footer"/>
    <w:basedOn w:val="a"/>
    <w:link w:val="a8"/>
    <w:uiPriority w:val="99"/>
    <w:semiHidden/>
    <w:unhideWhenUsed/>
    <w:rsid w:val="0071765C"/>
    <w:pPr>
      <w:tabs>
        <w:tab w:val="center" w:pos="4153"/>
        <w:tab w:val="right" w:pos="8306"/>
      </w:tabs>
    </w:pPr>
  </w:style>
  <w:style w:type="character" w:customStyle="1" w:styleId="a8">
    <w:name w:val="כותרת תחתונה תו"/>
    <w:basedOn w:val="a0"/>
    <w:link w:val="a7"/>
    <w:uiPriority w:val="99"/>
    <w:semiHidden/>
    <w:rsid w:val="0071765C"/>
    <w:rPr>
      <w:rFonts w:ascii="Times New Roman" w:eastAsia="Times New Roman" w:hAnsi="Times New Roman" w:cs="Miriam"/>
      <w:sz w:val="20"/>
      <w:szCs w:val="20"/>
    </w:rPr>
  </w:style>
  <w:style w:type="paragraph" w:customStyle="1" w:styleId="-">
    <w:name w:val="כותרת מאמר-נטוי"/>
    <w:basedOn w:val="a"/>
    <w:uiPriority w:val="99"/>
    <w:rsid w:val="00707DED"/>
    <w:pPr>
      <w:suppressAutoHyphens/>
      <w:bidi/>
      <w:spacing w:after="170" w:line="340" w:lineRule="atLeast"/>
      <w:jc w:val="center"/>
      <w:textAlignment w:val="center"/>
    </w:pPr>
    <w:rPr>
      <w:rFonts w:ascii="David" w:eastAsiaTheme="minorHAnsi" w:hAnsiTheme="minorHAnsi" w:cs="David"/>
      <w:b/>
      <w:bCs/>
      <w:color w:val="000000"/>
      <w:sz w:val="36"/>
      <w:szCs w:val="36"/>
    </w:rPr>
  </w:style>
  <w:style w:type="paragraph" w:customStyle="1" w:styleId="a9">
    <w:name w:val="החלטה מס'"/>
    <w:basedOn w:val="a"/>
    <w:uiPriority w:val="99"/>
    <w:rsid w:val="00707DED"/>
    <w:pPr>
      <w:bidi/>
      <w:spacing w:after="283" w:line="288" w:lineRule="auto"/>
      <w:textAlignment w:val="center"/>
    </w:pPr>
    <w:rPr>
      <w:rFonts w:ascii="David" w:eastAsiaTheme="minorHAnsi" w:hAnsiTheme="minorHAnsi" w:cs="David"/>
      <w:b/>
      <w:bCs/>
      <w:color w:val="000000"/>
      <w:sz w:val="32"/>
      <w:szCs w:val="32"/>
    </w:rPr>
  </w:style>
  <w:style w:type="paragraph" w:customStyle="1" w:styleId="aa">
    <w:name w:val="מחליטים"/>
    <w:basedOn w:val="a"/>
    <w:uiPriority w:val="99"/>
    <w:rsid w:val="00707DED"/>
    <w:pPr>
      <w:bidi/>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b">
    <w:name w:val="טקסט רץ"/>
    <w:basedOn w:val="a"/>
    <w:next w:val="a"/>
    <w:uiPriority w:val="99"/>
    <w:rsid w:val="00707DED"/>
    <w:pPr>
      <w:suppressAutoHyphens/>
      <w:bidi/>
      <w:spacing w:after="170" w:line="260" w:lineRule="atLeast"/>
      <w:jc w:val="both"/>
      <w:textAlignment w:val="center"/>
    </w:pPr>
    <w:rPr>
      <w:rFonts w:ascii="David" w:eastAsiaTheme="minorHAnsi" w:hAnsiTheme="minorHAnsi" w:cs="David"/>
      <w:color w:val="000000"/>
      <w:sz w:val="24"/>
      <w:szCs w:val="24"/>
    </w:rPr>
  </w:style>
  <w:style w:type="paragraph" w:customStyle="1" w:styleId="ac">
    <w:name w:val="המשרד לבטחון פנים"/>
    <w:basedOn w:val="a"/>
    <w:next w:val="a"/>
    <w:uiPriority w:val="99"/>
    <w:rsid w:val="00707DED"/>
    <w:pPr>
      <w:suppressAutoHyphens/>
      <w:bidi/>
      <w:spacing w:after="113" w:line="288" w:lineRule="auto"/>
      <w:jc w:val="both"/>
      <w:textAlignment w:val="center"/>
    </w:pPr>
    <w:rPr>
      <w:rFonts w:ascii="David" w:eastAsiaTheme="minorHAnsi" w:hAnsiTheme="minorHAnsi" w:cs="David"/>
      <w:b/>
      <w:bC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888</Characters>
  <Application>Microsoft Office Word</Application>
  <DocSecurity>0</DocSecurity>
  <Lines>7</Lines>
  <Paragraphs>2</Paragraphs>
  <ScaleCrop>false</ScaleCrop>
  <Company>pmo</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2010-10-14T11:26:00Z</cp:lastPrinted>
  <dcterms:created xsi:type="dcterms:W3CDTF">2010-12-09T15:59:00Z</dcterms:created>
  <dcterms:modified xsi:type="dcterms:W3CDTF">2010-12-09T15:59:00Z</dcterms:modified>
</cp:coreProperties>
</file>